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RPIPC Report, 8/13/19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 are our agenda items so far: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-We put aside discussion of a 12-month pay option until after all USG institutions are part of OneUSG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-Continue to monitor and discuss the 25alive rollout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-Follow up with Counseling Svcs regarding wait times for appointments and accessibility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-Engage in a conversation with HR regarding benefits and wellness.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-Cybersecurity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-Campus security and dealing with active shooter threats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