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5ACE" w14:textId="70F920DB" w:rsidR="00FD0EE4" w:rsidRPr="002B7F0D" w:rsidRDefault="00FD0EE4" w:rsidP="002B7F0D">
      <w:pPr>
        <w:pStyle w:val="ListParagraph"/>
        <w:numPr>
          <w:ilvl w:val="0"/>
          <w:numId w:val="2"/>
        </w:numPr>
        <w:rPr>
          <w:b/>
          <w:bCs/>
          <w:szCs w:val="24"/>
          <w:u w:val="single"/>
        </w:rPr>
      </w:pPr>
      <w:r w:rsidRPr="002B7F0D">
        <w:rPr>
          <w:b/>
          <w:bCs/>
          <w:szCs w:val="24"/>
          <w:u w:val="single"/>
        </w:rPr>
        <w:t>Elect</w:t>
      </w:r>
      <w:r w:rsidR="002B7F0D" w:rsidRPr="002B7F0D">
        <w:rPr>
          <w:b/>
          <w:bCs/>
          <w:szCs w:val="24"/>
          <w:u w:val="single"/>
        </w:rPr>
        <w:t>ion</w:t>
      </w:r>
      <w:r w:rsidRPr="002B7F0D">
        <w:rPr>
          <w:b/>
          <w:bCs/>
          <w:szCs w:val="24"/>
          <w:u w:val="single"/>
        </w:rPr>
        <w:t xml:space="preserve"> Proc</w:t>
      </w:r>
      <w:r w:rsidR="00C71BAA" w:rsidRPr="002B7F0D">
        <w:rPr>
          <w:b/>
          <w:bCs/>
          <w:szCs w:val="24"/>
          <w:u w:val="single"/>
        </w:rPr>
        <w:t>edures</w:t>
      </w:r>
    </w:p>
    <w:p w14:paraId="0E307639" w14:textId="77777777" w:rsidR="002B7F0D" w:rsidRPr="002B7F0D" w:rsidRDefault="002B7F0D" w:rsidP="002B7F0D">
      <w:pPr>
        <w:pStyle w:val="ListParagraph"/>
        <w:numPr>
          <w:ilvl w:val="1"/>
          <w:numId w:val="2"/>
        </w:numPr>
        <w:rPr>
          <w:b/>
          <w:smallCaps/>
          <w:szCs w:val="24"/>
          <w:u w:val="single"/>
        </w:rPr>
      </w:pPr>
      <w:bookmarkStart w:id="0" w:name="_Hlk121143727"/>
      <w:r w:rsidRPr="002B7F0D">
        <w:rPr>
          <w:b/>
          <w:smallCaps/>
          <w:szCs w:val="24"/>
          <w:u w:val="single"/>
        </w:rPr>
        <w:t>College of Arts and Sciences</w:t>
      </w:r>
      <w:bookmarkEnd w:id="0"/>
    </w:p>
    <w:p w14:paraId="74341AFB" w14:textId="77777777" w:rsidR="002B7F0D" w:rsidRPr="002B7F0D" w:rsidRDefault="002B7F0D" w:rsidP="002B7F0D">
      <w:pPr>
        <w:pStyle w:val="ListParagraph"/>
        <w:numPr>
          <w:ilvl w:val="2"/>
          <w:numId w:val="2"/>
        </w:numPr>
        <w:rPr>
          <w:b/>
          <w:szCs w:val="24"/>
        </w:rPr>
      </w:pPr>
      <w:r w:rsidRPr="002B7F0D">
        <w:rPr>
          <w:szCs w:val="24"/>
        </w:rPr>
        <w:t>The elections for 2023-2024 Faculty Senators from the College of Arts and Sciences will be managed according to the college bylaws. All departments in the college will elect the necessary senators to replace those whose terms will end spring 2023 in accordance with their department policies. The dean’s office has asked the departments to conduct and finalize elections so that we can provide the results to the Executive Committee no later than February 1, 2023.</w:t>
      </w:r>
    </w:p>
    <w:p w14:paraId="0DFC0AD2" w14:textId="77777777" w:rsidR="002B7F0D" w:rsidRPr="002B7F0D" w:rsidRDefault="002B7F0D" w:rsidP="002B7F0D">
      <w:pPr>
        <w:pStyle w:val="ListParagraph"/>
        <w:numPr>
          <w:ilvl w:val="2"/>
          <w:numId w:val="2"/>
        </w:numPr>
        <w:rPr>
          <w:b/>
          <w:szCs w:val="24"/>
        </w:rPr>
      </w:pPr>
      <w:r w:rsidRPr="002B7F0D">
        <w:rPr>
          <w:szCs w:val="24"/>
        </w:rPr>
        <w:t>Apportionment in the college for 2022 is based on the number of department faculty and positions being filled, indicated as follows. Each department is allocated one senator; and typically, an additional senator is allocated to larger departments in order of number of faculty until the total matches the senate apportionment for the academic year.</w:t>
      </w:r>
    </w:p>
    <w:tbl>
      <w:tblPr>
        <w:tblW w:w="0" w:type="auto"/>
        <w:jc w:val="right"/>
        <w:tblLayout w:type="fixed"/>
        <w:tblCellMar>
          <w:left w:w="0" w:type="dxa"/>
          <w:right w:w="0" w:type="dxa"/>
        </w:tblCellMar>
        <w:tblLook w:val="0000" w:firstRow="0" w:lastRow="0" w:firstColumn="0" w:lastColumn="0" w:noHBand="0" w:noVBand="0"/>
      </w:tblPr>
      <w:tblGrid>
        <w:gridCol w:w="5292"/>
        <w:gridCol w:w="1278"/>
        <w:gridCol w:w="630"/>
      </w:tblGrid>
      <w:tr w:rsidR="002B7F0D" w:rsidRPr="002B7F0D" w14:paraId="4D73026B"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37C2AE"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b/>
                <w:bCs/>
                <w:sz w:val="24"/>
                <w:szCs w:val="24"/>
              </w:rPr>
            </w:pPr>
            <w:r w:rsidRPr="002B7F0D">
              <w:rPr>
                <w:rFonts w:ascii="Times New Roman" w:hAnsi="Times New Roman" w:cs="Times New Roman"/>
                <w:b/>
                <w:bCs/>
                <w:sz w:val="24"/>
                <w:szCs w:val="24"/>
              </w:rPr>
              <w:t xml:space="preserve">2022-2023 </w:t>
            </w:r>
            <w:proofErr w:type="spellStart"/>
            <w:r w:rsidRPr="002B7F0D">
              <w:rPr>
                <w:rFonts w:ascii="Times New Roman" w:hAnsi="Times New Roman" w:cs="Times New Roman"/>
                <w:b/>
                <w:bCs/>
                <w:sz w:val="24"/>
                <w:szCs w:val="24"/>
              </w:rPr>
              <w:t>CoAS</w:t>
            </w:r>
            <w:proofErr w:type="spellEnd"/>
            <w:r w:rsidRPr="002B7F0D">
              <w:rPr>
                <w:rFonts w:ascii="Times New Roman" w:hAnsi="Times New Roman" w:cs="Times New Roman"/>
                <w:b/>
                <w:bCs/>
                <w:sz w:val="24"/>
                <w:szCs w:val="24"/>
              </w:rPr>
              <w:t xml:space="preserve"> Senate Representation</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343D05"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b/>
                <w:bCs/>
                <w:spacing w:val="-6"/>
                <w:sz w:val="24"/>
                <w:szCs w:val="24"/>
              </w:rPr>
            </w:pPr>
            <w:r w:rsidRPr="002B7F0D">
              <w:rPr>
                <w:rFonts w:ascii="Times New Roman" w:hAnsi="Times New Roman" w:cs="Times New Roman"/>
                <w:b/>
                <w:bCs/>
                <w:spacing w:val="-6"/>
                <w:sz w:val="24"/>
                <w:szCs w:val="24"/>
              </w:rPr>
              <w:t># Faculty</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1597F2" w14:textId="77777777" w:rsidR="002B7F0D" w:rsidRPr="002B7F0D" w:rsidRDefault="002B7F0D" w:rsidP="002B7F0D">
            <w:pPr>
              <w:kinsoku w:val="0"/>
              <w:overflowPunct w:val="0"/>
              <w:autoSpaceDE w:val="0"/>
              <w:autoSpaceDN w:val="0"/>
              <w:adjustRightInd w:val="0"/>
              <w:spacing w:after="0" w:line="240" w:lineRule="auto"/>
              <w:ind w:right="69"/>
              <w:contextualSpacing/>
              <w:jc w:val="center"/>
              <w:rPr>
                <w:rFonts w:ascii="Times New Roman" w:hAnsi="Times New Roman" w:cs="Times New Roman"/>
                <w:b/>
                <w:bCs/>
                <w:sz w:val="24"/>
                <w:szCs w:val="24"/>
              </w:rPr>
            </w:pPr>
          </w:p>
        </w:tc>
      </w:tr>
      <w:tr w:rsidR="002B7F0D" w:rsidRPr="002B7F0D" w14:paraId="04F391F2"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5030A51A"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z w:val="24"/>
                <w:szCs w:val="24"/>
              </w:rPr>
            </w:pPr>
            <w:r w:rsidRPr="002B7F0D">
              <w:rPr>
                <w:rFonts w:ascii="Times New Roman" w:hAnsi="Times New Roman" w:cs="Times New Roman"/>
                <w:sz w:val="24"/>
                <w:szCs w:val="24"/>
              </w:rPr>
              <w:t>Biological and Environmental</w:t>
            </w:r>
          </w:p>
        </w:tc>
        <w:tc>
          <w:tcPr>
            <w:tcW w:w="1278" w:type="dxa"/>
            <w:tcBorders>
              <w:top w:val="single" w:sz="4" w:space="0" w:color="000000"/>
              <w:left w:val="single" w:sz="4" w:space="0" w:color="000000"/>
              <w:bottom w:val="single" w:sz="4" w:space="0" w:color="000000"/>
              <w:right w:val="single" w:sz="4" w:space="0" w:color="000000"/>
            </w:tcBorders>
          </w:tcPr>
          <w:p w14:paraId="753AB54D"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27</w:t>
            </w:r>
          </w:p>
        </w:tc>
        <w:tc>
          <w:tcPr>
            <w:tcW w:w="630" w:type="dxa"/>
            <w:tcBorders>
              <w:top w:val="single" w:sz="4" w:space="0" w:color="000000"/>
              <w:left w:val="single" w:sz="4" w:space="0" w:color="000000"/>
              <w:bottom w:val="single" w:sz="4" w:space="0" w:color="000000"/>
              <w:right w:val="single" w:sz="4" w:space="0" w:color="000000"/>
            </w:tcBorders>
          </w:tcPr>
          <w:p w14:paraId="684A4986" w14:textId="77777777" w:rsidR="002B7F0D" w:rsidRPr="002B7F0D" w:rsidRDefault="002B7F0D" w:rsidP="002B7F0D">
            <w:pPr>
              <w:kinsoku w:val="0"/>
              <w:overflowPunct w:val="0"/>
              <w:autoSpaceDE w:val="0"/>
              <w:autoSpaceDN w:val="0"/>
              <w:adjustRightInd w:val="0"/>
              <w:spacing w:after="0" w:line="240" w:lineRule="auto"/>
              <w:ind w:right="69"/>
              <w:contextualSpacing/>
              <w:jc w:val="center"/>
              <w:rPr>
                <w:rFonts w:ascii="Times New Roman" w:hAnsi="Times New Roman" w:cs="Times New Roman"/>
                <w:sz w:val="24"/>
                <w:szCs w:val="24"/>
              </w:rPr>
            </w:pPr>
            <w:r w:rsidRPr="002B7F0D">
              <w:rPr>
                <w:rFonts w:ascii="Times New Roman" w:hAnsi="Times New Roman" w:cs="Times New Roman"/>
                <w:sz w:val="24"/>
                <w:szCs w:val="24"/>
              </w:rPr>
              <w:t>2</w:t>
            </w:r>
          </w:p>
        </w:tc>
      </w:tr>
      <w:tr w:rsidR="002B7F0D" w:rsidRPr="002B7F0D" w14:paraId="4CC5B117" w14:textId="77777777" w:rsidTr="005844E8">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0F32927C"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z w:val="24"/>
                <w:szCs w:val="24"/>
              </w:rPr>
            </w:pPr>
            <w:r w:rsidRPr="002B7F0D">
              <w:rPr>
                <w:rFonts w:ascii="Times New Roman" w:hAnsi="Times New Roman" w:cs="Times New Roman"/>
                <w:sz w:val="24"/>
                <w:szCs w:val="24"/>
              </w:rPr>
              <w:t>Government and Sociology</w:t>
            </w:r>
          </w:p>
        </w:tc>
        <w:tc>
          <w:tcPr>
            <w:tcW w:w="1278" w:type="dxa"/>
            <w:tcBorders>
              <w:top w:val="single" w:sz="4" w:space="0" w:color="000000"/>
              <w:left w:val="single" w:sz="4" w:space="0" w:color="000000"/>
              <w:bottom w:val="single" w:sz="4" w:space="0" w:color="000000"/>
              <w:right w:val="single" w:sz="4" w:space="0" w:color="000000"/>
            </w:tcBorders>
          </w:tcPr>
          <w:p w14:paraId="222A60E9"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24</w:t>
            </w:r>
          </w:p>
        </w:tc>
        <w:tc>
          <w:tcPr>
            <w:tcW w:w="630" w:type="dxa"/>
            <w:tcBorders>
              <w:top w:val="single" w:sz="4" w:space="0" w:color="000000"/>
              <w:left w:val="single" w:sz="4" w:space="0" w:color="000000"/>
              <w:bottom w:val="single" w:sz="4" w:space="0" w:color="000000"/>
              <w:right w:val="single" w:sz="4" w:space="0" w:color="000000"/>
            </w:tcBorders>
          </w:tcPr>
          <w:p w14:paraId="4ED49785" w14:textId="77777777" w:rsidR="002B7F0D" w:rsidRPr="002B7F0D" w:rsidRDefault="002B7F0D" w:rsidP="002B7F0D">
            <w:pPr>
              <w:kinsoku w:val="0"/>
              <w:overflowPunct w:val="0"/>
              <w:autoSpaceDE w:val="0"/>
              <w:autoSpaceDN w:val="0"/>
              <w:adjustRightInd w:val="0"/>
              <w:spacing w:after="0" w:line="240" w:lineRule="auto"/>
              <w:ind w:right="69"/>
              <w:contextualSpacing/>
              <w:jc w:val="center"/>
              <w:rPr>
                <w:rFonts w:ascii="Times New Roman" w:hAnsi="Times New Roman" w:cs="Times New Roman"/>
                <w:sz w:val="24"/>
                <w:szCs w:val="24"/>
              </w:rPr>
            </w:pPr>
            <w:r w:rsidRPr="002B7F0D">
              <w:rPr>
                <w:rFonts w:ascii="Times New Roman" w:hAnsi="Times New Roman" w:cs="Times New Roman"/>
                <w:sz w:val="24"/>
                <w:szCs w:val="24"/>
              </w:rPr>
              <w:t>2</w:t>
            </w:r>
          </w:p>
        </w:tc>
      </w:tr>
      <w:tr w:rsidR="002B7F0D" w:rsidRPr="002B7F0D" w14:paraId="5C3014FC" w14:textId="77777777" w:rsidTr="005844E8">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5727AF26"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pacing w:val="-2"/>
                <w:sz w:val="24"/>
                <w:szCs w:val="24"/>
              </w:rPr>
            </w:pPr>
            <w:r w:rsidRPr="002B7F0D">
              <w:rPr>
                <w:rFonts w:ascii="Times New Roman" w:hAnsi="Times New Roman" w:cs="Times New Roman"/>
                <w:spacing w:val="-2"/>
                <w:sz w:val="24"/>
                <w:szCs w:val="24"/>
              </w:rPr>
              <w:t>English</w:t>
            </w:r>
          </w:p>
        </w:tc>
        <w:tc>
          <w:tcPr>
            <w:tcW w:w="1278" w:type="dxa"/>
            <w:tcBorders>
              <w:top w:val="single" w:sz="4" w:space="0" w:color="000000"/>
              <w:left w:val="single" w:sz="4" w:space="0" w:color="000000"/>
              <w:bottom w:val="single" w:sz="4" w:space="0" w:color="000000"/>
              <w:right w:val="single" w:sz="4" w:space="0" w:color="000000"/>
            </w:tcBorders>
          </w:tcPr>
          <w:p w14:paraId="28771EF2"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20</w:t>
            </w:r>
          </w:p>
        </w:tc>
        <w:tc>
          <w:tcPr>
            <w:tcW w:w="630" w:type="dxa"/>
            <w:tcBorders>
              <w:top w:val="single" w:sz="4" w:space="0" w:color="000000"/>
              <w:left w:val="single" w:sz="4" w:space="0" w:color="000000"/>
              <w:bottom w:val="single" w:sz="4" w:space="0" w:color="000000"/>
              <w:right w:val="single" w:sz="4" w:space="0" w:color="000000"/>
            </w:tcBorders>
          </w:tcPr>
          <w:p w14:paraId="7CEAF118" w14:textId="77777777" w:rsidR="002B7F0D" w:rsidRPr="002B7F0D" w:rsidRDefault="002B7F0D" w:rsidP="002B7F0D">
            <w:pPr>
              <w:kinsoku w:val="0"/>
              <w:overflowPunct w:val="0"/>
              <w:autoSpaceDE w:val="0"/>
              <w:autoSpaceDN w:val="0"/>
              <w:adjustRightInd w:val="0"/>
              <w:spacing w:after="0" w:line="240" w:lineRule="auto"/>
              <w:ind w:right="69"/>
              <w:contextualSpacing/>
              <w:jc w:val="center"/>
              <w:rPr>
                <w:rFonts w:ascii="Times New Roman" w:hAnsi="Times New Roman" w:cs="Times New Roman"/>
                <w:sz w:val="24"/>
                <w:szCs w:val="24"/>
              </w:rPr>
            </w:pPr>
            <w:r w:rsidRPr="002B7F0D">
              <w:rPr>
                <w:rFonts w:ascii="Times New Roman" w:hAnsi="Times New Roman" w:cs="Times New Roman"/>
                <w:sz w:val="24"/>
                <w:szCs w:val="24"/>
              </w:rPr>
              <w:t>2</w:t>
            </w:r>
          </w:p>
        </w:tc>
      </w:tr>
      <w:tr w:rsidR="002B7F0D" w:rsidRPr="002B7F0D" w14:paraId="3FB3672E"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3BA1FDB6"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z w:val="24"/>
                <w:szCs w:val="24"/>
              </w:rPr>
            </w:pPr>
            <w:r w:rsidRPr="002B7F0D">
              <w:rPr>
                <w:rFonts w:ascii="Times New Roman" w:hAnsi="Times New Roman" w:cs="Times New Roman"/>
                <w:sz w:val="24"/>
                <w:szCs w:val="24"/>
              </w:rPr>
              <w:t>Chemistry, Physics, and Astronomy</w:t>
            </w:r>
          </w:p>
        </w:tc>
        <w:tc>
          <w:tcPr>
            <w:tcW w:w="1278" w:type="dxa"/>
            <w:tcBorders>
              <w:top w:val="single" w:sz="4" w:space="0" w:color="000000"/>
              <w:left w:val="single" w:sz="4" w:space="0" w:color="000000"/>
              <w:bottom w:val="single" w:sz="4" w:space="0" w:color="000000"/>
              <w:right w:val="single" w:sz="4" w:space="0" w:color="000000"/>
            </w:tcBorders>
          </w:tcPr>
          <w:p w14:paraId="508EF3C0"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16</w:t>
            </w:r>
          </w:p>
        </w:tc>
        <w:tc>
          <w:tcPr>
            <w:tcW w:w="630" w:type="dxa"/>
            <w:tcBorders>
              <w:top w:val="single" w:sz="4" w:space="0" w:color="000000"/>
              <w:left w:val="single" w:sz="4" w:space="0" w:color="000000"/>
              <w:bottom w:val="single" w:sz="4" w:space="0" w:color="000000"/>
              <w:right w:val="single" w:sz="4" w:space="0" w:color="000000"/>
            </w:tcBorders>
          </w:tcPr>
          <w:p w14:paraId="1729F547" w14:textId="77777777" w:rsidR="002B7F0D" w:rsidRPr="002B7F0D" w:rsidRDefault="002B7F0D" w:rsidP="002B7F0D">
            <w:pPr>
              <w:kinsoku w:val="0"/>
              <w:overflowPunct w:val="0"/>
              <w:autoSpaceDE w:val="0"/>
              <w:autoSpaceDN w:val="0"/>
              <w:adjustRightInd w:val="0"/>
              <w:spacing w:after="0" w:line="240" w:lineRule="auto"/>
              <w:ind w:right="69"/>
              <w:contextualSpacing/>
              <w:jc w:val="center"/>
              <w:rPr>
                <w:rFonts w:ascii="Times New Roman" w:hAnsi="Times New Roman" w:cs="Times New Roman"/>
                <w:sz w:val="24"/>
                <w:szCs w:val="24"/>
              </w:rPr>
            </w:pPr>
            <w:r w:rsidRPr="002B7F0D">
              <w:rPr>
                <w:rFonts w:ascii="Times New Roman" w:hAnsi="Times New Roman" w:cs="Times New Roman"/>
                <w:sz w:val="24"/>
                <w:szCs w:val="24"/>
              </w:rPr>
              <w:t>2</w:t>
            </w:r>
          </w:p>
        </w:tc>
      </w:tr>
      <w:tr w:rsidR="002B7F0D" w:rsidRPr="002B7F0D" w14:paraId="146A8C77" w14:textId="77777777" w:rsidTr="005844E8">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608A2700"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pacing w:val="-2"/>
                <w:sz w:val="24"/>
                <w:szCs w:val="24"/>
              </w:rPr>
            </w:pPr>
            <w:r w:rsidRPr="002B7F0D">
              <w:rPr>
                <w:rFonts w:ascii="Times New Roman" w:hAnsi="Times New Roman" w:cs="Times New Roman"/>
                <w:spacing w:val="-2"/>
                <w:sz w:val="24"/>
                <w:szCs w:val="24"/>
              </w:rPr>
              <w:t>Mathematics</w:t>
            </w:r>
          </w:p>
        </w:tc>
        <w:tc>
          <w:tcPr>
            <w:tcW w:w="1278" w:type="dxa"/>
            <w:tcBorders>
              <w:top w:val="single" w:sz="4" w:space="0" w:color="000000"/>
              <w:left w:val="single" w:sz="4" w:space="0" w:color="000000"/>
              <w:bottom w:val="single" w:sz="4" w:space="0" w:color="000000"/>
              <w:right w:val="single" w:sz="4" w:space="0" w:color="000000"/>
            </w:tcBorders>
          </w:tcPr>
          <w:p w14:paraId="2F071C4B"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17</w:t>
            </w:r>
          </w:p>
        </w:tc>
        <w:tc>
          <w:tcPr>
            <w:tcW w:w="630" w:type="dxa"/>
            <w:tcBorders>
              <w:top w:val="single" w:sz="4" w:space="0" w:color="000000"/>
              <w:left w:val="single" w:sz="4" w:space="0" w:color="000000"/>
              <w:bottom w:val="single" w:sz="4" w:space="0" w:color="000000"/>
              <w:right w:val="single" w:sz="4" w:space="0" w:color="000000"/>
            </w:tcBorders>
          </w:tcPr>
          <w:p w14:paraId="3ED5354C"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4B832196"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569B5B44"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z w:val="24"/>
                <w:szCs w:val="24"/>
              </w:rPr>
            </w:pPr>
            <w:r w:rsidRPr="002B7F0D">
              <w:rPr>
                <w:rFonts w:ascii="Times New Roman" w:hAnsi="Times New Roman" w:cs="Times New Roman"/>
                <w:sz w:val="24"/>
                <w:szCs w:val="24"/>
              </w:rPr>
              <w:t>History and Geography</w:t>
            </w:r>
          </w:p>
        </w:tc>
        <w:tc>
          <w:tcPr>
            <w:tcW w:w="1278" w:type="dxa"/>
            <w:tcBorders>
              <w:top w:val="single" w:sz="4" w:space="0" w:color="000000"/>
              <w:left w:val="single" w:sz="4" w:space="0" w:color="000000"/>
              <w:bottom w:val="single" w:sz="4" w:space="0" w:color="000000"/>
              <w:right w:val="single" w:sz="4" w:space="0" w:color="000000"/>
            </w:tcBorders>
          </w:tcPr>
          <w:p w14:paraId="210915B9"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15</w:t>
            </w:r>
          </w:p>
        </w:tc>
        <w:tc>
          <w:tcPr>
            <w:tcW w:w="630" w:type="dxa"/>
            <w:tcBorders>
              <w:top w:val="single" w:sz="4" w:space="0" w:color="000000"/>
              <w:left w:val="single" w:sz="4" w:space="0" w:color="000000"/>
              <w:bottom w:val="single" w:sz="4" w:space="0" w:color="000000"/>
              <w:right w:val="single" w:sz="4" w:space="0" w:color="000000"/>
            </w:tcBorders>
          </w:tcPr>
          <w:p w14:paraId="749321C3"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5524DAF6" w14:textId="77777777" w:rsidTr="005844E8">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00AC5921"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pacing w:val="-2"/>
                <w:sz w:val="24"/>
                <w:szCs w:val="24"/>
              </w:rPr>
            </w:pPr>
            <w:r w:rsidRPr="002B7F0D">
              <w:rPr>
                <w:rFonts w:ascii="Times New Roman" w:hAnsi="Times New Roman" w:cs="Times New Roman"/>
                <w:spacing w:val="-2"/>
                <w:sz w:val="24"/>
                <w:szCs w:val="24"/>
              </w:rPr>
              <w:t>Music</w:t>
            </w:r>
          </w:p>
        </w:tc>
        <w:tc>
          <w:tcPr>
            <w:tcW w:w="1278" w:type="dxa"/>
            <w:tcBorders>
              <w:top w:val="single" w:sz="4" w:space="0" w:color="000000"/>
              <w:left w:val="single" w:sz="4" w:space="0" w:color="000000"/>
              <w:bottom w:val="single" w:sz="4" w:space="0" w:color="000000"/>
              <w:right w:val="single" w:sz="4" w:space="0" w:color="000000"/>
            </w:tcBorders>
          </w:tcPr>
          <w:p w14:paraId="6EE3EE19"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14</w:t>
            </w:r>
          </w:p>
        </w:tc>
        <w:tc>
          <w:tcPr>
            <w:tcW w:w="630" w:type="dxa"/>
            <w:tcBorders>
              <w:top w:val="single" w:sz="4" w:space="0" w:color="000000"/>
              <w:left w:val="single" w:sz="4" w:space="0" w:color="000000"/>
              <w:bottom w:val="single" w:sz="4" w:space="0" w:color="000000"/>
              <w:right w:val="single" w:sz="4" w:space="0" w:color="000000"/>
            </w:tcBorders>
          </w:tcPr>
          <w:p w14:paraId="39322E3E"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5E6CD194" w14:textId="77777777" w:rsidTr="005844E8">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01F0F26D"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pacing w:val="-2"/>
                <w:sz w:val="24"/>
                <w:szCs w:val="24"/>
              </w:rPr>
            </w:pPr>
            <w:r w:rsidRPr="002B7F0D">
              <w:rPr>
                <w:rFonts w:ascii="Times New Roman" w:hAnsi="Times New Roman" w:cs="Times New Roman"/>
                <w:spacing w:val="-2"/>
                <w:sz w:val="24"/>
                <w:szCs w:val="24"/>
              </w:rPr>
              <w:t>Communication</w:t>
            </w:r>
          </w:p>
        </w:tc>
        <w:tc>
          <w:tcPr>
            <w:tcW w:w="1278" w:type="dxa"/>
            <w:tcBorders>
              <w:top w:val="single" w:sz="4" w:space="0" w:color="000000"/>
              <w:left w:val="single" w:sz="4" w:space="0" w:color="000000"/>
              <w:bottom w:val="single" w:sz="4" w:space="0" w:color="000000"/>
              <w:right w:val="single" w:sz="4" w:space="0" w:color="000000"/>
            </w:tcBorders>
          </w:tcPr>
          <w:p w14:paraId="1390F806"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13</w:t>
            </w:r>
          </w:p>
        </w:tc>
        <w:tc>
          <w:tcPr>
            <w:tcW w:w="630" w:type="dxa"/>
            <w:tcBorders>
              <w:top w:val="single" w:sz="4" w:space="0" w:color="000000"/>
              <w:left w:val="single" w:sz="4" w:space="0" w:color="000000"/>
              <w:bottom w:val="single" w:sz="4" w:space="0" w:color="000000"/>
              <w:right w:val="single" w:sz="4" w:space="0" w:color="000000"/>
            </w:tcBorders>
          </w:tcPr>
          <w:p w14:paraId="3B87A90B"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75950593"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0FB0F8A7"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pacing w:val="-2"/>
                <w:sz w:val="24"/>
                <w:szCs w:val="24"/>
              </w:rPr>
            </w:pPr>
            <w:r w:rsidRPr="002B7F0D">
              <w:rPr>
                <w:rFonts w:ascii="Times New Roman" w:hAnsi="Times New Roman" w:cs="Times New Roman"/>
                <w:spacing w:val="-2"/>
                <w:sz w:val="24"/>
                <w:szCs w:val="24"/>
              </w:rPr>
              <w:t>Psychology</w:t>
            </w:r>
          </w:p>
        </w:tc>
        <w:tc>
          <w:tcPr>
            <w:tcW w:w="1278" w:type="dxa"/>
            <w:tcBorders>
              <w:top w:val="single" w:sz="4" w:space="0" w:color="000000"/>
              <w:left w:val="single" w:sz="4" w:space="0" w:color="000000"/>
              <w:bottom w:val="single" w:sz="4" w:space="0" w:color="000000"/>
              <w:right w:val="single" w:sz="4" w:space="0" w:color="000000"/>
            </w:tcBorders>
          </w:tcPr>
          <w:p w14:paraId="133FE900"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11</w:t>
            </w:r>
          </w:p>
        </w:tc>
        <w:tc>
          <w:tcPr>
            <w:tcW w:w="630" w:type="dxa"/>
            <w:tcBorders>
              <w:top w:val="single" w:sz="4" w:space="0" w:color="000000"/>
              <w:left w:val="single" w:sz="4" w:space="0" w:color="000000"/>
              <w:bottom w:val="single" w:sz="4" w:space="0" w:color="000000"/>
              <w:right w:val="single" w:sz="4" w:space="0" w:color="000000"/>
            </w:tcBorders>
          </w:tcPr>
          <w:p w14:paraId="15DA5FAC"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2307D6BB" w14:textId="77777777" w:rsidTr="005844E8">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7103CC2A"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z w:val="24"/>
                <w:szCs w:val="24"/>
              </w:rPr>
            </w:pPr>
            <w:r w:rsidRPr="002B7F0D">
              <w:rPr>
                <w:rFonts w:ascii="Times New Roman" w:hAnsi="Times New Roman" w:cs="Times New Roman"/>
                <w:sz w:val="24"/>
                <w:szCs w:val="24"/>
              </w:rPr>
              <w:t>World Languages and Cultures</w:t>
            </w:r>
          </w:p>
        </w:tc>
        <w:tc>
          <w:tcPr>
            <w:tcW w:w="1278" w:type="dxa"/>
            <w:tcBorders>
              <w:top w:val="single" w:sz="4" w:space="0" w:color="000000"/>
              <w:left w:val="single" w:sz="4" w:space="0" w:color="000000"/>
              <w:bottom w:val="single" w:sz="4" w:space="0" w:color="000000"/>
              <w:right w:val="single" w:sz="4" w:space="0" w:color="000000"/>
            </w:tcBorders>
          </w:tcPr>
          <w:p w14:paraId="39BC5986"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11</w:t>
            </w:r>
          </w:p>
        </w:tc>
        <w:tc>
          <w:tcPr>
            <w:tcW w:w="630" w:type="dxa"/>
            <w:tcBorders>
              <w:top w:val="single" w:sz="4" w:space="0" w:color="000000"/>
              <w:left w:val="single" w:sz="4" w:space="0" w:color="000000"/>
              <w:bottom w:val="single" w:sz="4" w:space="0" w:color="000000"/>
              <w:right w:val="single" w:sz="4" w:space="0" w:color="000000"/>
            </w:tcBorders>
          </w:tcPr>
          <w:p w14:paraId="09C343AC"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06EF68C4"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7EC59514"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pacing w:val="-4"/>
                <w:sz w:val="24"/>
                <w:szCs w:val="24"/>
              </w:rPr>
            </w:pPr>
            <w:r w:rsidRPr="002B7F0D">
              <w:rPr>
                <w:rFonts w:ascii="Times New Roman" w:hAnsi="Times New Roman" w:cs="Times New Roman"/>
                <w:spacing w:val="-4"/>
                <w:sz w:val="24"/>
                <w:szCs w:val="24"/>
              </w:rPr>
              <w:t>Art</w:t>
            </w:r>
          </w:p>
        </w:tc>
        <w:tc>
          <w:tcPr>
            <w:tcW w:w="1278" w:type="dxa"/>
            <w:tcBorders>
              <w:top w:val="single" w:sz="4" w:space="0" w:color="000000"/>
              <w:left w:val="single" w:sz="4" w:space="0" w:color="000000"/>
              <w:bottom w:val="single" w:sz="4" w:space="0" w:color="000000"/>
              <w:right w:val="single" w:sz="4" w:space="0" w:color="000000"/>
            </w:tcBorders>
          </w:tcPr>
          <w:p w14:paraId="7CF5159A"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pacing w:val="-6"/>
                <w:sz w:val="24"/>
                <w:szCs w:val="24"/>
              </w:rPr>
            </w:pPr>
            <w:r w:rsidRPr="002B7F0D">
              <w:rPr>
                <w:rFonts w:ascii="Times New Roman" w:hAnsi="Times New Roman" w:cs="Times New Roman"/>
                <w:spacing w:val="-6"/>
                <w:sz w:val="24"/>
                <w:szCs w:val="24"/>
              </w:rPr>
              <w:t>11</w:t>
            </w:r>
          </w:p>
        </w:tc>
        <w:tc>
          <w:tcPr>
            <w:tcW w:w="630" w:type="dxa"/>
            <w:tcBorders>
              <w:top w:val="single" w:sz="4" w:space="0" w:color="000000"/>
              <w:left w:val="single" w:sz="4" w:space="0" w:color="000000"/>
              <w:bottom w:val="single" w:sz="4" w:space="0" w:color="000000"/>
              <w:right w:val="single" w:sz="4" w:space="0" w:color="000000"/>
            </w:tcBorders>
          </w:tcPr>
          <w:p w14:paraId="614AA02A"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69293AC0" w14:textId="77777777" w:rsidTr="005844E8">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2992E432"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z w:val="24"/>
                <w:szCs w:val="24"/>
              </w:rPr>
            </w:pPr>
            <w:r w:rsidRPr="002B7F0D">
              <w:rPr>
                <w:rFonts w:ascii="Times New Roman" w:hAnsi="Times New Roman" w:cs="Times New Roman"/>
                <w:sz w:val="24"/>
                <w:szCs w:val="24"/>
              </w:rPr>
              <w:t>Philosophy, Religion, and Liberal</w:t>
            </w:r>
          </w:p>
        </w:tc>
        <w:tc>
          <w:tcPr>
            <w:tcW w:w="1278" w:type="dxa"/>
            <w:tcBorders>
              <w:top w:val="single" w:sz="4" w:space="0" w:color="000000"/>
              <w:left w:val="single" w:sz="4" w:space="0" w:color="000000"/>
              <w:bottom w:val="single" w:sz="4" w:space="0" w:color="000000"/>
              <w:right w:val="single" w:sz="4" w:space="0" w:color="000000"/>
            </w:tcBorders>
          </w:tcPr>
          <w:p w14:paraId="03492676"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z w:val="24"/>
                <w:szCs w:val="24"/>
              </w:rPr>
            </w:pPr>
            <w:r w:rsidRPr="002B7F0D">
              <w:rPr>
                <w:rFonts w:ascii="Times New Roman" w:hAnsi="Times New Roman" w:cs="Times New Roman"/>
                <w:sz w:val="24"/>
                <w:szCs w:val="24"/>
              </w:rPr>
              <w:t>9</w:t>
            </w:r>
          </w:p>
        </w:tc>
        <w:tc>
          <w:tcPr>
            <w:tcW w:w="630" w:type="dxa"/>
            <w:tcBorders>
              <w:top w:val="single" w:sz="4" w:space="0" w:color="000000"/>
              <w:left w:val="single" w:sz="4" w:space="0" w:color="000000"/>
              <w:bottom w:val="single" w:sz="4" w:space="0" w:color="000000"/>
              <w:right w:val="single" w:sz="4" w:space="0" w:color="000000"/>
            </w:tcBorders>
          </w:tcPr>
          <w:p w14:paraId="28553D9B"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7AC2C73C"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6DBFC79E"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sz w:val="24"/>
                <w:szCs w:val="24"/>
              </w:rPr>
            </w:pPr>
            <w:r w:rsidRPr="002B7F0D">
              <w:rPr>
                <w:rFonts w:ascii="Times New Roman" w:hAnsi="Times New Roman" w:cs="Times New Roman"/>
                <w:sz w:val="24"/>
                <w:szCs w:val="24"/>
              </w:rPr>
              <w:t>Theatre and Dance</w:t>
            </w:r>
          </w:p>
        </w:tc>
        <w:tc>
          <w:tcPr>
            <w:tcW w:w="1278" w:type="dxa"/>
            <w:tcBorders>
              <w:top w:val="single" w:sz="4" w:space="0" w:color="000000"/>
              <w:left w:val="single" w:sz="4" w:space="0" w:color="000000"/>
              <w:bottom w:val="single" w:sz="4" w:space="0" w:color="000000"/>
              <w:right w:val="single" w:sz="4" w:space="0" w:color="000000"/>
            </w:tcBorders>
          </w:tcPr>
          <w:p w14:paraId="7159D981"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sz w:val="24"/>
                <w:szCs w:val="24"/>
              </w:rPr>
            </w:pPr>
            <w:r w:rsidRPr="002B7F0D">
              <w:rPr>
                <w:rFonts w:ascii="Times New Roman" w:hAnsi="Times New Roman" w:cs="Times New Roman"/>
                <w:sz w:val="24"/>
                <w:szCs w:val="24"/>
              </w:rPr>
              <w:t>6</w:t>
            </w:r>
          </w:p>
        </w:tc>
        <w:tc>
          <w:tcPr>
            <w:tcW w:w="630" w:type="dxa"/>
            <w:tcBorders>
              <w:top w:val="single" w:sz="4" w:space="0" w:color="000000"/>
              <w:left w:val="single" w:sz="4" w:space="0" w:color="000000"/>
              <w:bottom w:val="single" w:sz="4" w:space="0" w:color="000000"/>
              <w:right w:val="single" w:sz="4" w:space="0" w:color="000000"/>
            </w:tcBorders>
          </w:tcPr>
          <w:p w14:paraId="1EFA134A" w14:textId="77777777" w:rsidR="002B7F0D" w:rsidRPr="002B7F0D" w:rsidRDefault="002B7F0D" w:rsidP="002B7F0D">
            <w:pPr>
              <w:kinsoku w:val="0"/>
              <w:overflowPunct w:val="0"/>
              <w:autoSpaceDE w:val="0"/>
              <w:autoSpaceDN w:val="0"/>
              <w:adjustRightInd w:val="0"/>
              <w:spacing w:after="0" w:line="240" w:lineRule="auto"/>
              <w:ind w:right="97"/>
              <w:contextualSpacing/>
              <w:jc w:val="center"/>
              <w:rPr>
                <w:rFonts w:ascii="Times New Roman" w:hAnsi="Times New Roman" w:cs="Times New Roman"/>
                <w:sz w:val="24"/>
                <w:szCs w:val="24"/>
              </w:rPr>
            </w:pPr>
            <w:r w:rsidRPr="002B7F0D">
              <w:rPr>
                <w:rFonts w:ascii="Times New Roman" w:hAnsi="Times New Roman" w:cs="Times New Roman"/>
                <w:sz w:val="24"/>
                <w:szCs w:val="24"/>
              </w:rPr>
              <w:t>1</w:t>
            </w:r>
          </w:p>
        </w:tc>
      </w:tr>
      <w:tr w:rsidR="002B7F0D" w:rsidRPr="002B7F0D" w14:paraId="14259A57" w14:textId="77777777" w:rsidTr="005844E8">
        <w:trPr>
          <w:trHeight w:val="278"/>
          <w:jc w:val="right"/>
        </w:trPr>
        <w:tc>
          <w:tcPr>
            <w:tcW w:w="5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624255" w14:textId="77777777" w:rsidR="002B7F0D" w:rsidRPr="002B7F0D" w:rsidRDefault="002B7F0D" w:rsidP="002B7F0D">
            <w:pPr>
              <w:kinsoku w:val="0"/>
              <w:overflowPunct w:val="0"/>
              <w:autoSpaceDE w:val="0"/>
              <w:autoSpaceDN w:val="0"/>
              <w:adjustRightInd w:val="0"/>
              <w:spacing w:after="0" w:line="240" w:lineRule="auto"/>
              <w:ind w:left="107"/>
              <w:contextualSpacing/>
              <w:rPr>
                <w:rFonts w:ascii="Times New Roman" w:hAnsi="Times New Roman" w:cs="Times New Roman"/>
                <w:b/>
                <w:bCs/>
                <w:spacing w:val="-2"/>
                <w:sz w:val="24"/>
                <w:szCs w:val="24"/>
              </w:rPr>
            </w:pPr>
            <w:r w:rsidRPr="002B7F0D">
              <w:rPr>
                <w:rFonts w:ascii="Times New Roman" w:hAnsi="Times New Roman" w:cs="Times New Roman"/>
                <w:b/>
                <w:bCs/>
                <w:spacing w:val="-2"/>
                <w:sz w:val="24"/>
                <w:szCs w:val="24"/>
              </w:rPr>
              <w:t>Total</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978255" w14:textId="77777777" w:rsidR="002B7F0D" w:rsidRPr="002B7F0D" w:rsidRDefault="002B7F0D" w:rsidP="002B7F0D">
            <w:pPr>
              <w:kinsoku w:val="0"/>
              <w:overflowPunct w:val="0"/>
              <w:autoSpaceDE w:val="0"/>
              <w:autoSpaceDN w:val="0"/>
              <w:adjustRightInd w:val="0"/>
              <w:spacing w:after="0" w:line="240" w:lineRule="auto"/>
              <w:ind w:left="108"/>
              <w:contextualSpacing/>
              <w:rPr>
                <w:rFonts w:ascii="Times New Roman" w:hAnsi="Times New Roman" w:cs="Times New Roman"/>
                <w:b/>
                <w:bCs/>
                <w:spacing w:val="-4"/>
                <w:sz w:val="24"/>
                <w:szCs w:val="24"/>
              </w:rPr>
            </w:pPr>
            <w:r w:rsidRPr="002B7F0D">
              <w:rPr>
                <w:rFonts w:ascii="Times New Roman" w:hAnsi="Times New Roman" w:cs="Times New Roman"/>
                <w:b/>
                <w:bCs/>
                <w:spacing w:val="-4"/>
                <w:sz w:val="24"/>
                <w:szCs w:val="24"/>
              </w:rPr>
              <w:t>194</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6FCD59" w14:textId="77777777" w:rsidR="002B7F0D" w:rsidRPr="002B7F0D" w:rsidRDefault="002B7F0D" w:rsidP="002B7F0D">
            <w:pPr>
              <w:kinsoku w:val="0"/>
              <w:overflowPunct w:val="0"/>
              <w:autoSpaceDE w:val="0"/>
              <w:autoSpaceDN w:val="0"/>
              <w:adjustRightInd w:val="0"/>
              <w:spacing w:after="0" w:line="240" w:lineRule="auto"/>
              <w:ind w:left="95" w:right="83"/>
              <w:contextualSpacing/>
              <w:jc w:val="center"/>
              <w:rPr>
                <w:rFonts w:ascii="Times New Roman" w:hAnsi="Times New Roman" w:cs="Times New Roman"/>
                <w:b/>
                <w:bCs/>
                <w:spacing w:val="-6"/>
                <w:sz w:val="24"/>
                <w:szCs w:val="24"/>
              </w:rPr>
            </w:pPr>
            <w:r w:rsidRPr="002B7F0D">
              <w:rPr>
                <w:rFonts w:ascii="Times New Roman" w:hAnsi="Times New Roman" w:cs="Times New Roman"/>
                <w:b/>
                <w:bCs/>
                <w:spacing w:val="-6"/>
                <w:sz w:val="24"/>
                <w:szCs w:val="24"/>
              </w:rPr>
              <w:t>17</w:t>
            </w:r>
          </w:p>
        </w:tc>
      </w:tr>
    </w:tbl>
    <w:p w14:paraId="2EE6B099" w14:textId="378C39CB" w:rsidR="00FD0EE4" w:rsidRPr="002B7F0D" w:rsidRDefault="00FD0EE4" w:rsidP="002B7F0D">
      <w:pPr>
        <w:pStyle w:val="ListParagraph"/>
        <w:numPr>
          <w:ilvl w:val="1"/>
          <w:numId w:val="2"/>
        </w:numPr>
        <w:rPr>
          <w:szCs w:val="24"/>
        </w:rPr>
      </w:pPr>
      <w:r w:rsidRPr="002B7F0D">
        <w:rPr>
          <w:b/>
          <w:bCs/>
          <w:szCs w:val="24"/>
          <w:u w:val="single"/>
        </w:rPr>
        <w:t xml:space="preserve">College of Business </w:t>
      </w:r>
      <w:r w:rsidR="002B7F0D" w:rsidRPr="002B7F0D">
        <w:rPr>
          <w:b/>
          <w:bCs/>
          <w:szCs w:val="24"/>
          <w:u w:val="single"/>
        </w:rPr>
        <w:t>and</w:t>
      </w:r>
      <w:r w:rsidRPr="002B7F0D">
        <w:rPr>
          <w:b/>
          <w:bCs/>
          <w:szCs w:val="24"/>
          <w:u w:val="single"/>
        </w:rPr>
        <w:t xml:space="preserve"> Technology</w:t>
      </w:r>
      <w:r w:rsidRPr="002B7F0D">
        <w:rPr>
          <w:szCs w:val="24"/>
        </w:rPr>
        <w:t xml:space="preserve"> </w:t>
      </w:r>
      <w:proofErr w:type="gramStart"/>
      <w:r w:rsidRPr="002B7F0D">
        <w:rPr>
          <w:szCs w:val="24"/>
        </w:rPr>
        <w:t>The</w:t>
      </w:r>
      <w:proofErr w:type="gramEnd"/>
      <w:r w:rsidRPr="002B7F0D">
        <w:rPr>
          <w:szCs w:val="24"/>
        </w:rPr>
        <w:t xml:space="preserve"> </w:t>
      </w:r>
      <w:proofErr w:type="spellStart"/>
      <w:r w:rsidRPr="002B7F0D">
        <w:rPr>
          <w:szCs w:val="24"/>
        </w:rPr>
        <w:t>CoBT</w:t>
      </w:r>
      <w:proofErr w:type="spellEnd"/>
      <w:r w:rsidRPr="002B7F0D">
        <w:rPr>
          <w:szCs w:val="24"/>
        </w:rPr>
        <w:t xml:space="preserve"> Strategic Management Committee decides how University Senate seats assigned to </w:t>
      </w:r>
      <w:proofErr w:type="spellStart"/>
      <w:r w:rsidRPr="002B7F0D">
        <w:rPr>
          <w:szCs w:val="24"/>
        </w:rPr>
        <w:t>CoBT</w:t>
      </w:r>
      <w:proofErr w:type="spellEnd"/>
      <w:r w:rsidRPr="002B7F0D">
        <w:rPr>
          <w:szCs w:val="24"/>
        </w:rPr>
        <w:t xml:space="preserve"> are allotted. There are four departments in the </w:t>
      </w:r>
      <w:proofErr w:type="spellStart"/>
      <w:r w:rsidRPr="002B7F0D">
        <w:rPr>
          <w:szCs w:val="24"/>
        </w:rPr>
        <w:t>CoBT</w:t>
      </w:r>
      <w:proofErr w:type="spellEnd"/>
      <w:r w:rsidRPr="002B7F0D">
        <w:rPr>
          <w:szCs w:val="24"/>
        </w:rPr>
        <w:t xml:space="preserve">. Each department elects one senator, and the other two senators are elected by the </w:t>
      </w:r>
      <w:proofErr w:type="spellStart"/>
      <w:r w:rsidRPr="002B7F0D">
        <w:rPr>
          <w:szCs w:val="24"/>
        </w:rPr>
        <w:t>CoBT</w:t>
      </w:r>
      <w:proofErr w:type="spellEnd"/>
      <w:r w:rsidRPr="002B7F0D">
        <w:rPr>
          <w:szCs w:val="24"/>
        </w:rPr>
        <w:t xml:space="preserve"> faculty at-large.</w:t>
      </w:r>
    </w:p>
    <w:p w14:paraId="2F7EBCA5" w14:textId="4287BAD8" w:rsidR="00FD0EE4" w:rsidRPr="002B7F0D" w:rsidRDefault="00FD0EE4" w:rsidP="002B7F0D">
      <w:pPr>
        <w:pStyle w:val="ListParagraph"/>
        <w:numPr>
          <w:ilvl w:val="1"/>
          <w:numId w:val="2"/>
        </w:numPr>
        <w:rPr>
          <w:szCs w:val="24"/>
        </w:rPr>
      </w:pPr>
      <w:r w:rsidRPr="002B7F0D">
        <w:rPr>
          <w:b/>
          <w:bCs/>
          <w:szCs w:val="24"/>
          <w:u w:val="single"/>
        </w:rPr>
        <w:t>Co</w:t>
      </w:r>
      <w:r w:rsidRPr="002B7F0D">
        <w:rPr>
          <w:b/>
          <w:bCs/>
          <w:szCs w:val="24"/>
          <w:u w:val="single"/>
        </w:rPr>
        <w:t xml:space="preserve">llege of </w:t>
      </w:r>
      <w:r w:rsidRPr="002B7F0D">
        <w:rPr>
          <w:b/>
          <w:bCs/>
          <w:szCs w:val="24"/>
          <w:u w:val="single"/>
        </w:rPr>
        <w:t>E</w:t>
      </w:r>
      <w:r w:rsidRPr="002B7F0D">
        <w:rPr>
          <w:b/>
          <w:bCs/>
          <w:szCs w:val="24"/>
          <w:u w:val="single"/>
        </w:rPr>
        <w:t>ducation</w:t>
      </w:r>
      <w:r w:rsidRPr="002B7F0D">
        <w:rPr>
          <w:szCs w:val="24"/>
        </w:rPr>
        <w:t xml:space="preserve"> </w:t>
      </w:r>
      <w:proofErr w:type="gramStart"/>
      <w:r w:rsidRPr="002B7F0D">
        <w:rPr>
          <w:szCs w:val="24"/>
        </w:rPr>
        <w:t>The</w:t>
      </w:r>
      <w:proofErr w:type="gramEnd"/>
      <w:r w:rsidRPr="002B7F0D">
        <w:rPr>
          <w:szCs w:val="24"/>
        </w:rPr>
        <w:t xml:space="preserve"> </w:t>
      </w:r>
      <w:proofErr w:type="spellStart"/>
      <w:r w:rsidRPr="002B7F0D">
        <w:rPr>
          <w:szCs w:val="24"/>
        </w:rPr>
        <w:t>CoE</w:t>
      </w:r>
      <w:proofErr w:type="spellEnd"/>
      <w:r w:rsidRPr="002B7F0D">
        <w:rPr>
          <w:szCs w:val="24"/>
        </w:rPr>
        <w:t xml:space="preserve"> elects two senators each from each of its two departments: Professional Learning and Innovation and Teacher Education. Three of </w:t>
      </w:r>
      <w:proofErr w:type="spellStart"/>
      <w:r w:rsidRPr="002B7F0D">
        <w:rPr>
          <w:szCs w:val="24"/>
        </w:rPr>
        <w:t>CoE’s</w:t>
      </w:r>
      <w:proofErr w:type="spellEnd"/>
      <w:r w:rsidRPr="002B7F0D">
        <w:rPr>
          <w:szCs w:val="24"/>
        </w:rPr>
        <w:t xml:space="preserve"> four senators will end their service </w:t>
      </w:r>
      <w:proofErr w:type="gramStart"/>
      <w:r w:rsidRPr="002B7F0D">
        <w:rPr>
          <w:szCs w:val="24"/>
        </w:rPr>
        <w:t>on</w:t>
      </w:r>
      <w:proofErr w:type="gramEnd"/>
      <w:r w:rsidRPr="002B7F0D">
        <w:rPr>
          <w:szCs w:val="24"/>
        </w:rPr>
        <w:t xml:space="preserve"> April 2023, necessitating the election of three senators at </w:t>
      </w:r>
      <w:proofErr w:type="spellStart"/>
      <w:r w:rsidRPr="002B7F0D">
        <w:rPr>
          <w:szCs w:val="24"/>
        </w:rPr>
        <w:t>CoE’s</w:t>
      </w:r>
      <w:proofErr w:type="spellEnd"/>
      <w:r w:rsidRPr="002B7F0D">
        <w:rPr>
          <w:szCs w:val="24"/>
        </w:rPr>
        <w:t xml:space="preserve"> January 13, 2023 meeting. </w:t>
      </w:r>
    </w:p>
    <w:p w14:paraId="07FB6F75" w14:textId="77777777" w:rsidR="002B7F0D" w:rsidRPr="002B7F0D" w:rsidRDefault="002B7F0D" w:rsidP="002B7F0D">
      <w:pPr>
        <w:pStyle w:val="ListParagraph"/>
        <w:numPr>
          <w:ilvl w:val="1"/>
          <w:numId w:val="2"/>
        </w:numPr>
        <w:rPr>
          <w:b/>
          <w:smallCaps/>
          <w:szCs w:val="24"/>
          <w:u w:val="single"/>
        </w:rPr>
      </w:pPr>
      <w:r w:rsidRPr="002B7F0D">
        <w:rPr>
          <w:b/>
          <w:smallCaps/>
          <w:szCs w:val="24"/>
          <w:u w:val="single"/>
        </w:rPr>
        <w:t xml:space="preserve">College of Health Sciences </w:t>
      </w:r>
    </w:p>
    <w:p w14:paraId="53EF8BAF" w14:textId="77777777" w:rsidR="002B7F0D" w:rsidRPr="002B7F0D" w:rsidRDefault="002B7F0D" w:rsidP="002B7F0D">
      <w:pPr>
        <w:pStyle w:val="ListParagraph"/>
        <w:numPr>
          <w:ilvl w:val="2"/>
          <w:numId w:val="2"/>
        </w:numPr>
        <w:rPr>
          <w:b/>
          <w:szCs w:val="24"/>
        </w:rPr>
      </w:pPr>
      <w:r w:rsidRPr="002B7F0D">
        <w:rPr>
          <w:szCs w:val="24"/>
        </w:rPr>
        <w:t>Senate Election process</w:t>
      </w:r>
    </w:p>
    <w:p w14:paraId="27CE8A8C" w14:textId="77777777" w:rsidR="002B7F0D" w:rsidRPr="002B7F0D" w:rsidRDefault="002B7F0D" w:rsidP="002B7F0D">
      <w:pPr>
        <w:pStyle w:val="ListParagraph"/>
        <w:numPr>
          <w:ilvl w:val="3"/>
          <w:numId w:val="2"/>
        </w:numPr>
        <w:rPr>
          <w:b/>
          <w:szCs w:val="24"/>
        </w:rPr>
      </w:pPr>
      <w:r w:rsidRPr="002B7F0D">
        <w:rPr>
          <w:szCs w:val="24"/>
        </w:rPr>
        <w:t>Call for nominations/</w:t>
      </w:r>
      <w:proofErr w:type="gramStart"/>
      <w:r w:rsidRPr="002B7F0D">
        <w:rPr>
          <w:szCs w:val="24"/>
        </w:rPr>
        <w:t>guidelines</w:t>
      </w:r>
      <w:proofErr w:type="gramEnd"/>
    </w:p>
    <w:p w14:paraId="39A5EBC2" w14:textId="77777777" w:rsidR="002B7F0D" w:rsidRPr="002B7F0D" w:rsidRDefault="002B7F0D" w:rsidP="002B7F0D">
      <w:pPr>
        <w:pStyle w:val="ListParagraph"/>
        <w:numPr>
          <w:ilvl w:val="4"/>
          <w:numId w:val="2"/>
        </w:numPr>
        <w:rPr>
          <w:b/>
          <w:szCs w:val="24"/>
        </w:rPr>
      </w:pPr>
      <w:r w:rsidRPr="002B7F0D">
        <w:rPr>
          <w:szCs w:val="24"/>
        </w:rPr>
        <w:t>Apportionment (COHS constituencies): All full-time COHS faculty (including those recently hired, limited term or permanent faculty ranks, non-tenure track, tenure track or tenured) are eligible to nominate and are eligible to vote on the final ballot.</w:t>
      </w:r>
    </w:p>
    <w:p w14:paraId="2D525595" w14:textId="77777777" w:rsidR="002B7F0D" w:rsidRPr="002B7F0D" w:rsidRDefault="002B7F0D" w:rsidP="002B7F0D">
      <w:pPr>
        <w:pStyle w:val="ListParagraph"/>
        <w:numPr>
          <w:ilvl w:val="4"/>
          <w:numId w:val="2"/>
        </w:numPr>
        <w:rPr>
          <w:b/>
          <w:szCs w:val="24"/>
        </w:rPr>
      </w:pPr>
      <w:r w:rsidRPr="002B7F0D">
        <w:rPr>
          <w:szCs w:val="24"/>
        </w:rPr>
        <w:lastRenderedPageBreak/>
        <w:t>To be eligible to serve as a Senate Representative, faculty must be a member of the GC corps of instruction and have completed at least two (2) years of service at Georgia College at the beginning of the fall semester following their election as an elected faculty senator.</w:t>
      </w:r>
    </w:p>
    <w:p w14:paraId="4AAA0261" w14:textId="77777777" w:rsidR="002B7F0D" w:rsidRPr="002B7F0D" w:rsidRDefault="002B7F0D" w:rsidP="002B7F0D">
      <w:pPr>
        <w:pStyle w:val="ListParagraph"/>
        <w:numPr>
          <w:ilvl w:val="4"/>
          <w:numId w:val="2"/>
        </w:numPr>
        <w:rPr>
          <w:b/>
          <w:szCs w:val="24"/>
        </w:rPr>
      </w:pPr>
      <w:r w:rsidRPr="002B7F0D">
        <w:rPr>
          <w:szCs w:val="24"/>
        </w:rPr>
        <w:t xml:space="preserve">Prior to nominating, approval must be received from the individual being nominated. Self-nominations are allowed. Each faculty member may nominate one person only (yourself counts as your one nomination). </w:t>
      </w:r>
    </w:p>
    <w:p w14:paraId="772A277D" w14:textId="77777777" w:rsidR="002B7F0D" w:rsidRPr="002B7F0D" w:rsidRDefault="002B7F0D" w:rsidP="002B7F0D">
      <w:pPr>
        <w:pStyle w:val="ListParagraph"/>
        <w:numPr>
          <w:ilvl w:val="4"/>
          <w:numId w:val="2"/>
        </w:numPr>
        <w:rPr>
          <w:b/>
          <w:szCs w:val="24"/>
        </w:rPr>
      </w:pPr>
      <w:r w:rsidRPr="002B7F0D">
        <w:rPr>
          <w:szCs w:val="24"/>
        </w:rPr>
        <w:t xml:space="preserve">A call for nominations email with the above guidelines is sent to COHS constituencies. Nominations are sent to </w:t>
      </w:r>
      <w:hyperlink r:id="rId5" w:history="1">
        <w:r w:rsidRPr="002B7F0D">
          <w:rPr>
            <w:rStyle w:val="Hyperlink"/>
            <w:szCs w:val="24"/>
          </w:rPr>
          <w:t>julie.collis@gcsu.edu</w:t>
        </w:r>
      </w:hyperlink>
      <w:r w:rsidRPr="002B7F0D">
        <w:rPr>
          <w:szCs w:val="24"/>
        </w:rPr>
        <w:t>.</w:t>
      </w:r>
    </w:p>
    <w:p w14:paraId="2739E7F7" w14:textId="77777777" w:rsidR="002B7F0D" w:rsidRPr="002B7F0D" w:rsidRDefault="002B7F0D" w:rsidP="002B7F0D">
      <w:pPr>
        <w:pStyle w:val="ListParagraph"/>
        <w:numPr>
          <w:ilvl w:val="4"/>
          <w:numId w:val="2"/>
        </w:numPr>
        <w:rPr>
          <w:b/>
          <w:szCs w:val="24"/>
        </w:rPr>
      </w:pPr>
      <w:r w:rsidRPr="002B7F0D">
        <w:rPr>
          <w:szCs w:val="24"/>
        </w:rPr>
        <w:t>Faculty will be given at least five business days to submit nominations. Periodic reminder emails will be sent. After nominations are received, the Dean’s Office confirms the nominee’s acceptance of the nomination. An online vote for the vacant Senate seat(s) is then held.</w:t>
      </w:r>
    </w:p>
    <w:p w14:paraId="7384A474" w14:textId="77777777" w:rsidR="002B7F0D" w:rsidRPr="002B7F0D" w:rsidRDefault="002B7F0D" w:rsidP="002B7F0D">
      <w:pPr>
        <w:pStyle w:val="ListParagraph"/>
        <w:numPr>
          <w:ilvl w:val="3"/>
          <w:numId w:val="2"/>
        </w:numPr>
        <w:rPr>
          <w:b/>
          <w:szCs w:val="24"/>
        </w:rPr>
      </w:pPr>
      <w:r w:rsidRPr="002B7F0D">
        <w:rPr>
          <w:szCs w:val="24"/>
        </w:rPr>
        <w:t>Voting for Senators</w:t>
      </w:r>
    </w:p>
    <w:p w14:paraId="42A5D90C" w14:textId="77777777" w:rsidR="002B7F0D" w:rsidRPr="002B7F0D" w:rsidRDefault="002B7F0D" w:rsidP="002B7F0D">
      <w:pPr>
        <w:pStyle w:val="ListParagraph"/>
        <w:numPr>
          <w:ilvl w:val="4"/>
          <w:numId w:val="2"/>
        </w:numPr>
        <w:rPr>
          <w:b/>
          <w:szCs w:val="24"/>
        </w:rPr>
      </w:pPr>
      <w:r w:rsidRPr="002B7F0D">
        <w:rPr>
          <w:szCs w:val="24"/>
        </w:rPr>
        <w:t>An email is sent to all full-time COHS faculty who are eligible to vote (including those recently hired, limited term or permanent faculty ranks, non-tenure track, tenure track or tenured) with voting instructions, vote deadline, and a link to the online ballot.</w:t>
      </w:r>
    </w:p>
    <w:p w14:paraId="6F847234" w14:textId="77777777" w:rsidR="002B7F0D" w:rsidRPr="002B7F0D" w:rsidRDefault="002B7F0D" w:rsidP="002B7F0D">
      <w:pPr>
        <w:pStyle w:val="ListParagraph"/>
        <w:numPr>
          <w:ilvl w:val="4"/>
          <w:numId w:val="2"/>
        </w:numPr>
        <w:rPr>
          <w:b/>
          <w:szCs w:val="24"/>
        </w:rPr>
      </w:pPr>
      <w:r w:rsidRPr="002B7F0D">
        <w:rPr>
          <w:szCs w:val="24"/>
        </w:rPr>
        <w:t xml:space="preserve">The online ballot lists the nominees from step one. Faculty will be given five business days to vote. Periodic reminder emails will be sent. </w:t>
      </w:r>
    </w:p>
    <w:p w14:paraId="471E34B8" w14:textId="77777777" w:rsidR="002B7F0D" w:rsidRPr="002B7F0D" w:rsidRDefault="002B7F0D" w:rsidP="002B7F0D">
      <w:pPr>
        <w:pStyle w:val="ListParagraph"/>
        <w:numPr>
          <w:ilvl w:val="4"/>
          <w:numId w:val="2"/>
        </w:numPr>
        <w:rPr>
          <w:b/>
          <w:szCs w:val="24"/>
        </w:rPr>
      </w:pPr>
      <w:r w:rsidRPr="002B7F0D">
        <w:rPr>
          <w:szCs w:val="24"/>
        </w:rPr>
        <w:t xml:space="preserve">After the vote deadline, results will be sent to COHS Dean, Dr. Noviello. The Dean will notify the winners. </w:t>
      </w:r>
    </w:p>
    <w:p w14:paraId="6CD94C2F" w14:textId="77777777" w:rsidR="002B7F0D" w:rsidRPr="002B7F0D" w:rsidRDefault="002B7F0D" w:rsidP="002B7F0D">
      <w:pPr>
        <w:pStyle w:val="ListParagraph"/>
        <w:numPr>
          <w:ilvl w:val="4"/>
          <w:numId w:val="2"/>
        </w:numPr>
        <w:rPr>
          <w:b/>
          <w:szCs w:val="24"/>
        </w:rPr>
      </w:pPr>
      <w:r w:rsidRPr="002B7F0D">
        <w:rPr>
          <w:szCs w:val="24"/>
        </w:rPr>
        <w:t>The results will be forwarded from the Dean’s Office to the University Senate Executive Committee by Feb. 1.</w:t>
      </w:r>
    </w:p>
    <w:p w14:paraId="6C17BEEB" w14:textId="1308890F" w:rsidR="002B7F0D" w:rsidRPr="002B7F0D" w:rsidRDefault="002B7F0D" w:rsidP="002B7F0D">
      <w:pPr>
        <w:pStyle w:val="ListParagraph"/>
        <w:numPr>
          <w:ilvl w:val="1"/>
          <w:numId w:val="2"/>
        </w:numPr>
        <w:rPr>
          <w:b/>
          <w:szCs w:val="24"/>
        </w:rPr>
      </w:pPr>
      <w:r w:rsidRPr="002B7F0D">
        <w:rPr>
          <w:b/>
          <w:smallCaps/>
          <w:szCs w:val="24"/>
          <w:u w:val="single"/>
        </w:rPr>
        <w:t>University Library</w:t>
      </w:r>
      <w:r w:rsidRPr="002B7F0D">
        <w:rPr>
          <w:szCs w:val="24"/>
        </w:rPr>
        <w:t xml:space="preserve"> The University Library has two senators. Neither seat will be up for re-election during the 2022-2023 school year. Election procedures: vacancies are filled by secret ballot distributed to all library faculty members annually by the 2nd Friday in December.</w:t>
      </w:r>
    </w:p>
    <w:sectPr w:rsidR="002B7F0D" w:rsidRPr="002B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37D"/>
    <w:multiLevelType w:val="hybridMultilevel"/>
    <w:tmpl w:val="60C85E34"/>
    <w:lvl w:ilvl="0" w:tplc="0409000F">
      <w:start w:val="1"/>
      <w:numFmt w:val="decimal"/>
      <w:lvlText w:val="%1."/>
      <w:lvlJc w:val="left"/>
      <w:pPr>
        <w:ind w:left="2880" w:hanging="360"/>
      </w:pPr>
    </w:lvl>
    <w:lvl w:ilvl="1" w:tplc="7632BFBA">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5AA25982">
      <w:start w:val="1"/>
      <w:numFmt w:val="decimal"/>
      <w:lvlText w:val="%4."/>
      <w:lvlJc w:val="left"/>
      <w:pPr>
        <w:ind w:left="2880" w:hanging="360"/>
      </w:pPr>
      <w:rPr>
        <w:b w:val="0"/>
        <w:bCs/>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5F84"/>
    <w:multiLevelType w:val="hybridMultilevel"/>
    <w:tmpl w:val="F852049E"/>
    <w:lvl w:ilvl="0" w:tplc="A0B23F5A">
      <w:start w:val="1"/>
      <w:numFmt w:val="decimal"/>
      <w:lvlText w:val="%1."/>
      <w:lvlJc w:val="left"/>
      <w:pPr>
        <w:ind w:left="720" w:hanging="360"/>
      </w:pPr>
      <w:rPr>
        <w:rFonts w:hint="default"/>
        <w:b w:val="0"/>
        <w:bCs w:val="0"/>
      </w:rPr>
    </w:lvl>
    <w:lvl w:ilvl="1" w:tplc="3C829324">
      <w:start w:val="1"/>
      <w:numFmt w:val="lowerLetter"/>
      <w:lvlText w:val="%2."/>
      <w:lvlJc w:val="left"/>
      <w:pPr>
        <w:ind w:left="1440" w:hanging="360"/>
      </w:pPr>
      <w:rPr>
        <w:b w:val="0"/>
        <w:bCs/>
      </w:rPr>
    </w:lvl>
    <w:lvl w:ilvl="2" w:tplc="B1A0C748">
      <w:start w:val="1"/>
      <w:numFmt w:val="lowerRoman"/>
      <w:lvlText w:val="%3."/>
      <w:lvlJc w:val="right"/>
      <w:pPr>
        <w:ind w:left="2160" w:hanging="180"/>
      </w:pPr>
      <w:rPr>
        <w:b w:val="0"/>
        <w:bCs/>
      </w:rPr>
    </w:lvl>
    <w:lvl w:ilvl="3" w:tplc="87ECCAC2">
      <w:start w:val="1"/>
      <w:numFmt w:val="decimal"/>
      <w:lvlText w:val="%4."/>
      <w:lvlJc w:val="left"/>
      <w:pPr>
        <w:ind w:left="2880" w:hanging="360"/>
      </w:pPr>
      <w:rPr>
        <w:b w:val="0"/>
        <w:bCs/>
      </w:rPr>
    </w:lvl>
    <w:lvl w:ilvl="4" w:tplc="5EF0B918">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084387">
    <w:abstractNumId w:val="0"/>
  </w:num>
  <w:num w:numId="2" w16cid:durableId="102860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E4"/>
    <w:rsid w:val="002B7F0D"/>
    <w:rsid w:val="007C709B"/>
    <w:rsid w:val="00C71BAA"/>
    <w:rsid w:val="00D25E1E"/>
    <w:rsid w:val="00FD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559C"/>
  <w15:chartTrackingRefBased/>
  <w15:docId w15:val="{A10B52AF-B963-4261-B2B5-DF0A8A62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E4"/>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B7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collis@g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4</cp:revision>
  <dcterms:created xsi:type="dcterms:W3CDTF">2023-02-08T14:44:00Z</dcterms:created>
  <dcterms:modified xsi:type="dcterms:W3CDTF">2023-02-08T14:52:00Z</dcterms:modified>
</cp:coreProperties>
</file>