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E" w:rsidRPr="005C25CF" w:rsidRDefault="005C25CF" w:rsidP="0068141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C25CF">
        <w:rPr>
          <w:b/>
          <w:sz w:val="28"/>
          <w:szCs w:val="28"/>
        </w:rPr>
        <w:t>Georgia College and State University</w:t>
      </w:r>
    </w:p>
    <w:p w:rsidR="005C25CF" w:rsidRPr="005C25CF" w:rsidRDefault="005C25CF" w:rsidP="0068141E">
      <w:pPr>
        <w:spacing w:after="0"/>
        <w:jc w:val="center"/>
        <w:rPr>
          <w:b/>
          <w:sz w:val="28"/>
          <w:szCs w:val="28"/>
        </w:rPr>
      </w:pPr>
    </w:p>
    <w:p w:rsidR="005C25CF" w:rsidRPr="005C25CF" w:rsidRDefault="005C25CF" w:rsidP="0068141E">
      <w:pPr>
        <w:spacing w:after="0"/>
        <w:jc w:val="center"/>
        <w:rPr>
          <w:b/>
          <w:sz w:val="28"/>
          <w:szCs w:val="28"/>
        </w:rPr>
      </w:pPr>
      <w:r w:rsidRPr="005C25CF">
        <w:rPr>
          <w:b/>
          <w:sz w:val="28"/>
          <w:szCs w:val="28"/>
        </w:rPr>
        <w:t>PCI-DSS Compliance Procedure</w:t>
      </w:r>
    </w:p>
    <w:p w:rsidR="0068141E" w:rsidRDefault="0068141E" w:rsidP="0068141E">
      <w:pPr>
        <w:spacing w:after="0"/>
      </w:pPr>
    </w:p>
    <w:p w:rsidR="00551460" w:rsidRPr="0068141E" w:rsidRDefault="00551460" w:rsidP="00551460">
      <w:pPr>
        <w:spacing w:after="0"/>
        <w:rPr>
          <w:b/>
        </w:rPr>
      </w:pPr>
      <w:r w:rsidRPr="0068141E">
        <w:rPr>
          <w:b/>
        </w:rPr>
        <w:t>PCI Data Security Standard</w:t>
      </w:r>
      <w:r w:rsidR="00B81D6E" w:rsidRPr="0068141E">
        <w:rPr>
          <w:b/>
        </w:rPr>
        <w:t xml:space="preserve"> </w:t>
      </w:r>
      <w:r w:rsidR="0068141E" w:rsidRPr="0068141E">
        <w:rPr>
          <w:b/>
        </w:rPr>
        <w:t xml:space="preserve">Compliance: </w:t>
      </w:r>
      <w:r w:rsidR="00B81D6E" w:rsidRPr="0068141E">
        <w:rPr>
          <w:b/>
        </w:rPr>
        <w:t>Requirements for Offices Seeking to Outsource Payment Card Processing</w:t>
      </w:r>
    </w:p>
    <w:p w:rsidR="00551460" w:rsidRDefault="00551460" w:rsidP="00551460">
      <w:pPr>
        <w:spacing w:after="0"/>
      </w:pPr>
    </w:p>
    <w:p w:rsidR="0068141E" w:rsidRDefault="005C25CF" w:rsidP="00590BCA">
      <w:pPr>
        <w:spacing w:after="0"/>
      </w:pPr>
      <w:r>
        <w:t xml:space="preserve">Georgia College (GC) </w:t>
      </w:r>
      <w:r w:rsidR="00551460">
        <w:t xml:space="preserve">has a </w:t>
      </w:r>
      <w:r w:rsidR="0097451A">
        <w:t>legal</w:t>
      </w:r>
      <w:r w:rsidR="00551460">
        <w:t xml:space="preserve"> obligation to remain compliant with the Payment Card Industry (PCI) Data Security Standard (DSS).  Under the </w:t>
      </w:r>
      <w:r>
        <w:t>PCI-</w:t>
      </w:r>
      <w:r w:rsidR="00551460">
        <w:t>DSS</w:t>
      </w:r>
      <w:r w:rsidR="0068141E">
        <w:t xml:space="preserve"> r</w:t>
      </w:r>
      <w:r w:rsidR="00590BCA">
        <w:t>equirement</w:t>
      </w:r>
      <w:r w:rsidR="0068141E">
        <w:t>s</w:t>
      </w:r>
      <w:r w:rsidR="00551460">
        <w:t xml:space="preserve">, </w:t>
      </w:r>
      <w:r w:rsidR="00590BCA">
        <w:t xml:space="preserve">if </w:t>
      </w:r>
      <w:r>
        <w:t>GC</w:t>
      </w:r>
      <w:r w:rsidR="00590BCA">
        <w:t xml:space="preserve"> </w:t>
      </w:r>
      <w:r w:rsidR="00551460" w:rsidRPr="00551460">
        <w:t>outsource</w:t>
      </w:r>
      <w:r w:rsidR="00590BCA">
        <w:t>s</w:t>
      </w:r>
      <w:r w:rsidR="00551460" w:rsidRPr="00551460">
        <w:t xml:space="preserve"> storage, processing, or transmission of cardholder data to </w:t>
      </w:r>
      <w:r w:rsidR="00590BCA">
        <w:t>a third-party service provider</w:t>
      </w:r>
      <w:r w:rsidR="00B4143E">
        <w:t>/merchant</w:t>
      </w:r>
      <w:r w:rsidR="00551460" w:rsidRPr="00551460">
        <w:t xml:space="preserve">, the </w:t>
      </w:r>
      <w:r w:rsidR="00590BCA">
        <w:t xml:space="preserve">University’s annual </w:t>
      </w:r>
      <w:r w:rsidR="00551460" w:rsidRPr="00551460">
        <w:t>Report on</w:t>
      </w:r>
      <w:r w:rsidR="00551460">
        <w:t xml:space="preserve"> </w:t>
      </w:r>
      <w:r w:rsidR="00551460" w:rsidRPr="00551460">
        <w:t>Compliance (ROC) must document the role of each service provider</w:t>
      </w:r>
      <w:r w:rsidR="00B4143E">
        <w:t xml:space="preserve"> or merchant that processes payment card transactions on behalf of the university.  This documentation must clearly identify</w:t>
      </w:r>
      <w:r w:rsidR="00551460" w:rsidRPr="00551460">
        <w:t xml:space="preserve"> which </w:t>
      </w:r>
      <w:r>
        <w:t>PCI-</w:t>
      </w:r>
      <w:r w:rsidR="00590BCA">
        <w:t xml:space="preserve">DSS </w:t>
      </w:r>
      <w:r w:rsidR="00551460" w:rsidRPr="00551460">
        <w:t xml:space="preserve">requirements </w:t>
      </w:r>
      <w:r w:rsidR="00B4143E">
        <w:t>are the responsibility of</w:t>
      </w:r>
      <w:r w:rsidR="00551460" w:rsidRPr="00551460">
        <w:t xml:space="preserve"> </w:t>
      </w:r>
      <w:r>
        <w:t>GC</w:t>
      </w:r>
      <w:r w:rsidR="00551460" w:rsidRPr="00551460">
        <w:t xml:space="preserve"> and which</w:t>
      </w:r>
      <w:r w:rsidR="00551460">
        <w:t xml:space="preserve"> </w:t>
      </w:r>
      <w:r w:rsidR="00FF2C1A">
        <w:t xml:space="preserve">requirements </w:t>
      </w:r>
      <w:proofErr w:type="gramStart"/>
      <w:r w:rsidR="00FF2C1A">
        <w:t xml:space="preserve">are the </w:t>
      </w:r>
      <w:r w:rsidR="00B4143E">
        <w:t>responsibility</w:t>
      </w:r>
      <w:proofErr w:type="gramEnd"/>
      <w:r w:rsidR="00551460" w:rsidRPr="00551460">
        <w:t xml:space="preserve"> </w:t>
      </w:r>
      <w:r w:rsidR="00B4143E">
        <w:t>of the</w:t>
      </w:r>
      <w:r w:rsidR="00551460" w:rsidRPr="00551460">
        <w:t xml:space="preserve"> service provider</w:t>
      </w:r>
      <w:r w:rsidR="00B4143E">
        <w:t>/merchant</w:t>
      </w:r>
      <w:r w:rsidR="00551460" w:rsidRPr="00551460">
        <w:t xml:space="preserve">. </w:t>
      </w:r>
    </w:p>
    <w:p w:rsidR="0097451A" w:rsidRDefault="0097451A" w:rsidP="00590BCA">
      <w:pPr>
        <w:spacing w:after="0"/>
      </w:pPr>
    </w:p>
    <w:p w:rsidR="0097451A" w:rsidRDefault="0097451A" w:rsidP="00590BCA">
      <w:pPr>
        <w:spacing w:after="0"/>
      </w:pPr>
      <w:r w:rsidRPr="0097451A">
        <w:rPr>
          <w:rFonts w:cs="Calibri"/>
          <w:color w:val="000000"/>
        </w:rPr>
        <w:t xml:space="preserve">To reduce processing and compliance costs for the institution, all </w:t>
      </w:r>
      <w:r w:rsidR="00323216">
        <w:rPr>
          <w:rFonts w:cs="Calibri"/>
          <w:color w:val="000000"/>
        </w:rPr>
        <w:t xml:space="preserve">credit </w:t>
      </w:r>
      <w:r w:rsidRPr="0097451A">
        <w:rPr>
          <w:rFonts w:cs="Calibri"/>
          <w:color w:val="000000"/>
        </w:rPr>
        <w:t xml:space="preserve">card readers will connect through a </w:t>
      </w:r>
      <w:r w:rsidR="00B50C47">
        <w:rPr>
          <w:rFonts w:cs="Calibri"/>
          <w:color w:val="000000"/>
        </w:rPr>
        <w:t xml:space="preserve">secure point-to-point </w:t>
      </w:r>
      <w:r w:rsidRPr="0097451A">
        <w:rPr>
          <w:rFonts w:cs="Calibri"/>
          <w:color w:val="000000"/>
        </w:rPr>
        <w:t>dial-up connection.</w:t>
      </w:r>
      <w:r w:rsidR="00B50C47">
        <w:rPr>
          <w:rFonts w:cs="Calibri"/>
          <w:color w:val="000000"/>
        </w:rPr>
        <w:t xml:space="preserve">  Credit card information will be used only at the time of the transaction and will not be stored on GC systems past that time.  </w:t>
      </w:r>
      <w:r w:rsidRPr="0097451A">
        <w:rPr>
          <w:rFonts w:cs="Calibri"/>
          <w:color w:val="000000"/>
        </w:rPr>
        <w:t xml:space="preserve">  </w:t>
      </w:r>
    </w:p>
    <w:p w:rsidR="0068141E" w:rsidRDefault="0068141E" w:rsidP="00590BCA">
      <w:pPr>
        <w:spacing w:after="0"/>
      </w:pPr>
    </w:p>
    <w:p w:rsidR="00590BCA" w:rsidRDefault="005C25CF" w:rsidP="00590BCA">
      <w:pPr>
        <w:spacing w:after="0"/>
      </w:pPr>
      <w:r>
        <w:t>In order to meet the PCI-</w:t>
      </w:r>
      <w:r w:rsidR="0068141E">
        <w:t>DSS repo</w:t>
      </w:r>
      <w:r>
        <w:t>rting requirements, GC</w:t>
      </w:r>
      <w:r w:rsidR="0068141E">
        <w:t xml:space="preserve"> requires each service provider/merchant who stores, processes or transmits cardholde</w:t>
      </w:r>
      <w:r>
        <w:t>r data on behalf of GC</w:t>
      </w:r>
      <w:r w:rsidR="0068141E">
        <w:t xml:space="preserve"> </w:t>
      </w:r>
      <w:r>
        <w:t>to submit evidence of their PCI-</w:t>
      </w:r>
      <w:r w:rsidR="0068141E">
        <w:t xml:space="preserve">DSS compliance on an annual basis.  </w:t>
      </w:r>
      <w:r w:rsidR="00614271">
        <w:t>PCI-DSS compliance information will be collected, documented and reported annually through GC Information Technology.</w:t>
      </w:r>
    </w:p>
    <w:p w:rsidR="0068141E" w:rsidRDefault="0068141E" w:rsidP="00590BCA">
      <w:pPr>
        <w:spacing w:after="0"/>
      </w:pPr>
    </w:p>
    <w:p w:rsidR="00551460" w:rsidRPr="00551460" w:rsidRDefault="00551460" w:rsidP="00590BCA">
      <w:pPr>
        <w:spacing w:after="0"/>
      </w:pPr>
      <w:r w:rsidRPr="00551460">
        <w:t>There are two options for third-party service providers</w:t>
      </w:r>
      <w:r w:rsidR="00B4143E">
        <w:t>/merchants</w:t>
      </w:r>
      <w:r w:rsidRPr="00551460">
        <w:t xml:space="preserve"> to validate </w:t>
      </w:r>
      <w:r w:rsidR="00590BCA">
        <w:t xml:space="preserve">their </w:t>
      </w:r>
      <w:r w:rsidRPr="00551460">
        <w:t>compliance</w:t>
      </w:r>
      <w:r w:rsidR="00590BCA">
        <w:t xml:space="preserve"> with PCI</w:t>
      </w:r>
      <w:r w:rsidR="005C25CF">
        <w:t>-</w:t>
      </w:r>
      <w:r w:rsidR="00590BCA">
        <w:t>DSS</w:t>
      </w:r>
      <w:r w:rsidRPr="00551460">
        <w:t>:</w:t>
      </w:r>
    </w:p>
    <w:p w:rsidR="00B610C2" w:rsidRDefault="005C25CF" w:rsidP="00B610C2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0"/>
      </w:pPr>
      <w:r>
        <w:t>They can undergo a PCI-</w:t>
      </w:r>
      <w:r w:rsidR="00551460" w:rsidRPr="00551460">
        <w:t>DSS assessment on their ow</w:t>
      </w:r>
      <w:r>
        <w:t>n and provide evidence to GC</w:t>
      </w:r>
      <w:r w:rsidR="00590BCA">
        <w:t xml:space="preserve"> </w:t>
      </w:r>
      <w:r w:rsidR="00551460" w:rsidRPr="00551460">
        <w:t>t</w:t>
      </w:r>
      <w:r w:rsidR="0040255A">
        <w:t>o demonstrate their compliance.  Refer to the PCI-</w:t>
      </w:r>
      <w:r w:rsidR="009E38C6">
        <w:t>DSS Self-</w:t>
      </w:r>
      <w:r w:rsidR="0040255A">
        <w:t>Assessment Questionnaire Instructio</w:t>
      </w:r>
      <w:r w:rsidR="001746D1">
        <w:t>n Guide.</w:t>
      </w:r>
      <w:r w:rsidR="0040255A">
        <w:t xml:space="preserve"> </w:t>
      </w:r>
    </w:p>
    <w:p w:rsidR="00B610C2" w:rsidRDefault="00B610C2" w:rsidP="00B61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720"/>
      </w:pPr>
    </w:p>
    <w:p w:rsidR="00551460" w:rsidRDefault="00B610C2" w:rsidP="00B61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</w:pPr>
      <w:r>
        <w:tab/>
      </w:r>
      <w:proofErr w:type="gramStart"/>
      <w:r>
        <w:t>o</w:t>
      </w:r>
      <w:r w:rsidR="00551460" w:rsidRPr="00551460">
        <w:t>r</w:t>
      </w:r>
      <w:proofErr w:type="gramEnd"/>
    </w:p>
    <w:p w:rsidR="00B610C2" w:rsidRPr="00551460" w:rsidRDefault="00B610C2" w:rsidP="00B610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</w:pPr>
    </w:p>
    <w:p w:rsidR="00551460" w:rsidRDefault="00D17AA0" w:rsidP="00D17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720" w:hanging="360"/>
      </w:pPr>
      <w:r>
        <w:t>2)</w:t>
      </w:r>
      <w:r>
        <w:tab/>
      </w:r>
      <w:r w:rsidR="00B4143E">
        <w:t>T</w:t>
      </w:r>
      <w:r w:rsidR="00551460" w:rsidRPr="00551460">
        <w:t xml:space="preserve">heir services </w:t>
      </w:r>
      <w:r w:rsidR="00B4143E">
        <w:t xml:space="preserve">are </w:t>
      </w:r>
      <w:r w:rsidR="00551460" w:rsidRPr="00551460">
        <w:t>reviewed during the c</w:t>
      </w:r>
      <w:r w:rsidR="00B4143E">
        <w:t xml:space="preserve">ourse of </w:t>
      </w:r>
      <w:r w:rsidR="00551460" w:rsidRPr="00551460">
        <w:t>their</w:t>
      </w:r>
      <w:r w:rsidR="00551460">
        <w:t xml:space="preserve"> </w:t>
      </w:r>
      <w:r w:rsidR="005C25CF">
        <w:t>customers’ PCI-</w:t>
      </w:r>
      <w:r w:rsidR="00551460" w:rsidRPr="00551460">
        <w:t>DSS assessments.</w:t>
      </w:r>
      <w:r w:rsidR="00066766">
        <w:t xml:space="preserve"> </w:t>
      </w:r>
      <w:r w:rsidR="009E38C6">
        <w:t xml:space="preserve">Refer to the Payment Card Industry Data Security Standard Requirements and Security Assessment Procedures found in the PCI Data Security Standard. </w:t>
      </w:r>
      <w:r w:rsidR="00066766">
        <w:t xml:space="preserve">  Notice:  Georgia College does not ext</w:t>
      </w:r>
      <w:r w:rsidR="00607856">
        <w:t>end PCI-DSS assessment services</w:t>
      </w:r>
      <w:r w:rsidR="00066766">
        <w:t xml:space="preserve"> to third-party service providers/merchants.</w:t>
      </w:r>
    </w:p>
    <w:p w:rsidR="00551460" w:rsidRDefault="00551460" w:rsidP="00551460">
      <w:pPr>
        <w:spacing w:after="0"/>
      </w:pPr>
    </w:p>
    <w:p w:rsidR="00551460" w:rsidRDefault="00D17AA0" w:rsidP="00551460">
      <w:pPr>
        <w:spacing w:after="0"/>
      </w:pPr>
      <w:r>
        <w:t xml:space="preserve">Those vendors who are eligible </w:t>
      </w:r>
      <w:r w:rsidR="00B81D6E">
        <w:t xml:space="preserve">to complete a </w:t>
      </w:r>
      <w:r w:rsidR="005C25CF">
        <w:t>PCI-</w:t>
      </w:r>
      <w:r w:rsidR="00752D20">
        <w:t xml:space="preserve">DSS </w:t>
      </w:r>
      <w:r w:rsidR="009E38C6">
        <w:t>self-</w:t>
      </w:r>
      <w:r w:rsidR="00B81D6E">
        <w:t>assessment questionnaire may submit the</w:t>
      </w:r>
      <w:r w:rsidR="0068141E">
        <w:t>ir</w:t>
      </w:r>
      <w:r w:rsidR="00B81D6E">
        <w:t xml:space="preserve"> most recent Attestation of Compliance.  Those vendors that are required to be </w:t>
      </w:r>
      <w:r w:rsidR="005C25CF">
        <w:t>PCI-</w:t>
      </w:r>
      <w:r w:rsidR="00752D20">
        <w:t xml:space="preserve">DSS </w:t>
      </w:r>
      <w:r w:rsidR="00B81D6E">
        <w:t xml:space="preserve">certified by a </w:t>
      </w:r>
      <w:r w:rsidR="00B81D6E" w:rsidRPr="00B81D6E">
        <w:t>Qualified Security Assessor</w:t>
      </w:r>
      <w:r w:rsidR="00B81D6E">
        <w:t xml:space="preserve"> must submit the</w:t>
      </w:r>
      <w:r w:rsidR="0068141E">
        <w:t>ir most recent</w:t>
      </w:r>
      <w:r w:rsidR="00B81D6E">
        <w:t xml:space="preserve"> certification.  In either case, the evidence mu</w:t>
      </w:r>
      <w:r w:rsidR="005C25CF">
        <w:t>st be dated within the last 12 months</w:t>
      </w:r>
      <w:r w:rsidR="00B81D6E">
        <w:t>.</w:t>
      </w:r>
    </w:p>
    <w:p w:rsidR="00B81D6E" w:rsidRDefault="00B81D6E" w:rsidP="00551460">
      <w:pPr>
        <w:spacing w:after="0"/>
      </w:pPr>
    </w:p>
    <w:p w:rsidR="00DB2CEE" w:rsidRDefault="005C25CF" w:rsidP="00551460">
      <w:pPr>
        <w:spacing w:after="0"/>
      </w:pPr>
      <w:r>
        <w:t>Offices at GC</w:t>
      </w:r>
      <w:r w:rsidR="00B81D6E">
        <w:t xml:space="preserve"> </w:t>
      </w:r>
      <w:r w:rsidR="0068141E">
        <w:t>desiring</w:t>
      </w:r>
      <w:r w:rsidR="00B81D6E">
        <w:t xml:space="preserve"> an agreement with a third party</w:t>
      </w:r>
      <w:r w:rsidR="0068141E">
        <w:t xml:space="preserve"> service provider/merchant</w:t>
      </w:r>
      <w:r w:rsidR="00B81D6E">
        <w:t xml:space="preserve"> to store, process o</w:t>
      </w:r>
      <w:r w:rsidR="00DB2CEE">
        <w:t>r transmit cardholder data must:</w:t>
      </w:r>
    </w:p>
    <w:p w:rsidR="00DB2CEE" w:rsidRDefault="00DB2CEE" w:rsidP="00DB2CEE">
      <w:pPr>
        <w:numPr>
          <w:ilvl w:val="0"/>
          <w:numId w:val="2"/>
        </w:numPr>
        <w:spacing w:after="0"/>
      </w:pPr>
      <w:r>
        <w:t>Document the business need for accepting credit card transactions</w:t>
      </w:r>
      <w:r w:rsidR="004C2114">
        <w:t>.</w:t>
      </w:r>
    </w:p>
    <w:p w:rsidR="00DB2CEE" w:rsidRDefault="00DB2CEE" w:rsidP="00DB2CEE">
      <w:pPr>
        <w:numPr>
          <w:ilvl w:val="0"/>
          <w:numId w:val="2"/>
        </w:numPr>
        <w:spacing w:after="0"/>
      </w:pPr>
      <w:r>
        <w:t xml:space="preserve">Meet with </w:t>
      </w:r>
      <w:r w:rsidR="00630853">
        <w:t>the Office of the Controller</w:t>
      </w:r>
      <w:r>
        <w:t xml:space="preserve"> for justification and approval</w:t>
      </w:r>
      <w:r w:rsidR="004C2114">
        <w:t>.</w:t>
      </w:r>
    </w:p>
    <w:p w:rsidR="00DB2CEE" w:rsidRDefault="00DB2CEE" w:rsidP="00DB2CEE">
      <w:pPr>
        <w:numPr>
          <w:ilvl w:val="0"/>
          <w:numId w:val="2"/>
        </w:numPr>
        <w:spacing w:after="0"/>
      </w:pPr>
      <w:r>
        <w:t>O</w:t>
      </w:r>
      <w:r w:rsidR="00B81D6E">
        <w:t xml:space="preserve">btain the required </w:t>
      </w:r>
      <w:r w:rsidR="005C25CF">
        <w:t>PCI-</w:t>
      </w:r>
      <w:r w:rsidR="0068141E">
        <w:t xml:space="preserve">DSS </w:t>
      </w:r>
      <w:r w:rsidR="00B81D6E">
        <w:t>evidence a</w:t>
      </w:r>
      <w:r w:rsidR="005C25CF">
        <w:t xml:space="preserve">nd submit it to GC </w:t>
      </w:r>
      <w:r w:rsidR="00B81D6E">
        <w:t>Informa</w:t>
      </w:r>
      <w:r w:rsidR="005C25CF">
        <w:t>tion Technology (</w:t>
      </w:r>
      <w:r w:rsidR="0068141E">
        <w:t>IT)</w:t>
      </w:r>
      <w:r w:rsidR="005C25CF">
        <w:t xml:space="preserve"> </w:t>
      </w:r>
      <w:r w:rsidR="0097451A">
        <w:t xml:space="preserve">and to the Vice President of Business and Finance </w:t>
      </w:r>
      <w:r w:rsidR="005C25CF">
        <w:t>for file</w:t>
      </w:r>
      <w:r w:rsidR="004C2114">
        <w:t>.</w:t>
      </w:r>
    </w:p>
    <w:p w:rsidR="005C25CF" w:rsidRDefault="005C25CF" w:rsidP="00551460">
      <w:pPr>
        <w:spacing w:after="0"/>
      </w:pPr>
    </w:p>
    <w:p w:rsidR="00B81D6E" w:rsidRDefault="0068141E" w:rsidP="00551460">
      <w:pPr>
        <w:spacing w:after="0"/>
      </w:pPr>
      <w:r>
        <w:t>O</w:t>
      </w:r>
      <w:r w:rsidR="00B81D6E">
        <w:t>ffices</w:t>
      </w:r>
      <w:r>
        <w:t xml:space="preserve"> with ongoing agreements</w:t>
      </w:r>
      <w:r w:rsidR="00B81D6E">
        <w:t xml:space="preserve"> must obtain</w:t>
      </w:r>
      <w:r>
        <w:t xml:space="preserve"> and submit</w:t>
      </w:r>
      <w:r w:rsidR="00B81D6E">
        <w:t xml:space="preserve"> the evidence </w:t>
      </w:r>
      <w:r>
        <w:t>of PCI</w:t>
      </w:r>
      <w:r w:rsidR="005C25CF">
        <w:t>-</w:t>
      </w:r>
      <w:r>
        <w:t xml:space="preserve"> DSS compliance </w:t>
      </w:r>
      <w:r w:rsidR="00B81D6E">
        <w:t xml:space="preserve">on </w:t>
      </w:r>
      <w:r>
        <w:t xml:space="preserve">an annual basis </w:t>
      </w:r>
      <w:r w:rsidR="00614271">
        <w:t xml:space="preserve">to Information Technology </w:t>
      </w:r>
      <w:r w:rsidR="00752D20">
        <w:t>as it must be</w:t>
      </w:r>
      <w:r>
        <w:t xml:space="preserve"> included in the University’s </w:t>
      </w:r>
      <w:r w:rsidR="00B81D6E">
        <w:t xml:space="preserve">annual </w:t>
      </w:r>
      <w:r>
        <w:t xml:space="preserve">Report on Compliance. </w:t>
      </w:r>
      <w:r w:rsidR="00FF2C1A">
        <w:t xml:space="preserve"> </w:t>
      </w:r>
      <w:r w:rsidR="00B81D6E">
        <w:t>It shall be the office</w:t>
      </w:r>
      <w:r>
        <w:t>’</w:t>
      </w:r>
      <w:r w:rsidR="00B81D6E">
        <w:t xml:space="preserve">s responsibility to resolve </w:t>
      </w:r>
      <w:r>
        <w:t xml:space="preserve">any </w:t>
      </w:r>
      <w:r w:rsidR="00B81D6E">
        <w:t xml:space="preserve">missing </w:t>
      </w:r>
      <w:r>
        <w:t xml:space="preserve">service provider/merchant compliance documentation. An </w:t>
      </w:r>
      <w:r w:rsidR="00B81D6E">
        <w:t>attestation of scan compliance only addresses section 11.2 of the PCI</w:t>
      </w:r>
      <w:r w:rsidR="005C25CF">
        <w:t>-</w:t>
      </w:r>
      <w:r w:rsidR="00B81D6E">
        <w:t xml:space="preserve"> DSS </w:t>
      </w:r>
      <w:r>
        <w:t>and</w:t>
      </w:r>
      <w:r w:rsidR="00B81D6E">
        <w:t xml:space="preserve"> will not be accepted as evidence of full </w:t>
      </w:r>
      <w:r w:rsidR="005C25CF">
        <w:t>service provider/merchant PCI-</w:t>
      </w:r>
      <w:r>
        <w:t xml:space="preserve">DSS </w:t>
      </w:r>
      <w:r w:rsidR="00B81D6E">
        <w:t>compliance.</w:t>
      </w:r>
    </w:p>
    <w:p w:rsidR="00AF6376" w:rsidRDefault="00AF6376" w:rsidP="00551460">
      <w:pPr>
        <w:spacing w:after="0"/>
      </w:pPr>
    </w:p>
    <w:p w:rsidR="00815EC3" w:rsidRDefault="00815EC3" w:rsidP="00551460">
      <w:pPr>
        <w:spacing w:after="0"/>
      </w:pPr>
    </w:p>
    <w:p w:rsidR="00AF6376" w:rsidRPr="00815EC3" w:rsidRDefault="00815EC3" w:rsidP="00AF6376">
      <w:pPr>
        <w:rPr>
          <w:b/>
        </w:rPr>
      </w:pPr>
      <w:r w:rsidRPr="00815EC3">
        <w:rPr>
          <w:b/>
        </w:rPr>
        <w:t>Reference</w:t>
      </w:r>
    </w:p>
    <w:p w:rsidR="0040255A" w:rsidRDefault="0040255A" w:rsidP="00AF6376">
      <w:r>
        <w:t xml:space="preserve">PCI-DSS </w:t>
      </w:r>
      <w:r w:rsidR="009E38C6">
        <w:t>Self-</w:t>
      </w:r>
      <w:r>
        <w:t>Assessment Questionnaire Instruction Guide:</w:t>
      </w:r>
    </w:p>
    <w:p w:rsidR="009E38C6" w:rsidRPr="009E38C6" w:rsidRDefault="00DD63C7" w:rsidP="009E38C6">
      <w:pPr>
        <w:rPr>
          <w:color w:val="0000FF"/>
          <w:u w:val="single"/>
        </w:rPr>
      </w:pPr>
      <w:hyperlink r:id="rId8" w:history="1">
        <w:r w:rsidR="00AF6376">
          <w:rPr>
            <w:rStyle w:val="Hyperlink"/>
          </w:rPr>
          <w:t>https://www.pcisecuritystandards.org/documents/pci_dss_saq_instr_guide_v2.0.pdf</w:t>
        </w:r>
      </w:hyperlink>
    </w:p>
    <w:p w:rsidR="00066766" w:rsidRDefault="00066766" w:rsidP="00AF6376"/>
    <w:p w:rsidR="009E38C6" w:rsidRDefault="009E38C6" w:rsidP="00AF6376">
      <w:pPr>
        <w:rPr>
          <w:rStyle w:val="Hyperlink"/>
        </w:rPr>
      </w:pPr>
      <w:r>
        <w:t>PCI Data Security Standard:</w:t>
      </w:r>
    </w:p>
    <w:p w:rsidR="009E38C6" w:rsidRDefault="00DD63C7" w:rsidP="00AF6376">
      <w:hyperlink r:id="rId9" w:history="1">
        <w:r w:rsidR="009E38C6" w:rsidRPr="00A9052E">
          <w:rPr>
            <w:rStyle w:val="Hyperlink"/>
          </w:rPr>
          <w:t>https://www.pcisecuritystandards.org/documents/pci_dss_v2.pdf</w:t>
        </w:r>
      </w:hyperlink>
    </w:p>
    <w:p w:rsidR="009E38C6" w:rsidRDefault="009E38C6" w:rsidP="00AF6376"/>
    <w:p w:rsidR="009E38C6" w:rsidRDefault="009E38C6" w:rsidP="00AF6376"/>
    <w:p w:rsidR="0040255A" w:rsidRDefault="0040255A" w:rsidP="00AF6376"/>
    <w:p w:rsidR="0040255A" w:rsidRDefault="0040255A" w:rsidP="00AF6376"/>
    <w:p w:rsidR="00AF6376" w:rsidRDefault="00AF6376" w:rsidP="00551460">
      <w:pPr>
        <w:spacing w:after="0"/>
      </w:pPr>
    </w:p>
    <w:sectPr w:rsidR="00AF6376" w:rsidSect="00973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C7" w:rsidRDefault="00DD63C7" w:rsidP="002B3FBC">
      <w:pPr>
        <w:spacing w:after="0" w:line="240" w:lineRule="auto"/>
      </w:pPr>
      <w:r>
        <w:separator/>
      </w:r>
    </w:p>
  </w:endnote>
  <w:endnote w:type="continuationSeparator" w:id="0">
    <w:p w:rsidR="00DD63C7" w:rsidRDefault="00DD63C7" w:rsidP="002B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C7" w:rsidRDefault="00DD63C7" w:rsidP="002B3FBC">
      <w:pPr>
        <w:spacing w:after="0" w:line="240" w:lineRule="auto"/>
      </w:pPr>
      <w:r>
        <w:separator/>
      </w:r>
    </w:p>
  </w:footnote>
  <w:footnote w:type="continuationSeparator" w:id="0">
    <w:p w:rsidR="00DD63C7" w:rsidRDefault="00DD63C7" w:rsidP="002B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BC" w:rsidRDefault="002B3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B5"/>
    <w:multiLevelType w:val="hybridMultilevel"/>
    <w:tmpl w:val="5CD6107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6357A"/>
    <w:multiLevelType w:val="hybridMultilevel"/>
    <w:tmpl w:val="1B38BCC4"/>
    <w:lvl w:ilvl="0" w:tplc="FD08B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04964"/>
    <w:rsid w:val="00066766"/>
    <w:rsid w:val="00092A85"/>
    <w:rsid w:val="000961F9"/>
    <w:rsid w:val="001746D1"/>
    <w:rsid w:val="002A7EE1"/>
    <w:rsid w:val="002B3FBC"/>
    <w:rsid w:val="00323216"/>
    <w:rsid w:val="003D0120"/>
    <w:rsid w:val="0040255A"/>
    <w:rsid w:val="004B34C3"/>
    <w:rsid w:val="004C2114"/>
    <w:rsid w:val="0053300D"/>
    <w:rsid w:val="00551460"/>
    <w:rsid w:val="00590BCA"/>
    <w:rsid w:val="005A22E7"/>
    <w:rsid w:val="005C25CF"/>
    <w:rsid w:val="00607856"/>
    <w:rsid w:val="00614271"/>
    <w:rsid w:val="00630853"/>
    <w:rsid w:val="0068141E"/>
    <w:rsid w:val="006B4600"/>
    <w:rsid w:val="006D2783"/>
    <w:rsid w:val="00752D20"/>
    <w:rsid w:val="008009B5"/>
    <w:rsid w:val="00815EC3"/>
    <w:rsid w:val="008C5AA0"/>
    <w:rsid w:val="008C65CB"/>
    <w:rsid w:val="00973715"/>
    <w:rsid w:val="0097451A"/>
    <w:rsid w:val="009E38C6"/>
    <w:rsid w:val="00AF6376"/>
    <w:rsid w:val="00B059CE"/>
    <w:rsid w:val="00B4143E"/>
    <w:rsid w:val="00B50C47"/>
    <w:rsid w:val="00B610C2"/>
    <w:rsid w:val="00B81D6E"/>
    <w:rsid w:val="00B92A13"/>
    <w:rsid w:val="00C003E3"/>
    <w:rsid w:val="00D17AA0"/>
    <w:rsid w:val="00DB2CEE"/>
    <w:rsid w:val="00DC1ED4"/>
    <w:rsid w:val="00DD63C7"/>
    <w:rsid w:val="00E66EB9"/>
    <w:rsid w:val="00EA1924"/>
    <w:rsid w:val="00F27358"/>
    <w:rsid w:val="00F928EA"/>
    <w:rsid w:val="00FF0E5B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1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1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isecuritystandards.org/documents/pci_dss_saq_instr_guide_v2.0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cisecuritystandards.org/documents/pci_dss_v2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3773</CharactersWithSpaces>
  <SharedDoc>false</SharedDoc>
  <HLinks>
    <vt:vector size="12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https://www.pcisecuritystandards.org/documents/pci_dss_v2.pdf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https://www.pcisecuritystandards.org/documents/pci_dss_saq_instr_guide_v2.0.pdf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Jackson</dc:creator>
  <cp:lastModifiedBy>craig.turner</cp:lastModifiedBy>
  <cp:revision>2</cp:revision>
  <cp:lastPrinted>2012-10-05T13:30:00Z</cp:lastPrinted>
  <dcterms:created xsi:type="dcterms:W3CDTF">2012-10-11T11:36:00Z</dcterms:created>
  <dcterms:modified xsi:type="dcterms:W3CDTF">2012-10-11T11:36:00Z</dcterms:modified>
</cp:coreProperties>
</file>