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F78B" w14:textId="77777777" w:rsidR="00524DD9" w:rsidRDefault="00524DD9" w:rsidP="00865BBB">
      <w:pPr>
        <w:jc w:val="center"/>
        <w:rPr>
          <w:b/>
          <w:bCs/>
          <w:sz w:val="28"/>
          <w:szCs w:val="28"/>
        </w:rPr>
      </w:pPr>
      <w:r w:rsidRPr="00524DD9">
        <w:rPr>
          <w:b/>
          <w:bCs/>
          <w:sz w:val="28"/>
          <w:szCs w:val="28"/>
        </w:rPr>
        <w:t>Faculty Affairs Policy Committee</w:t>
      </w:r>
    </w:p>
    <w:p w14:paraId="676FC7EC" w14:textId="63EB22DF" w:rsidR="0071470B" w:rsidRDefault="0071470B" w:rsidP="006E60D6">
      <w:pPr>
        <w:spacing w:after="240"/>
        <w:jc w:val="center"/>
      </w:pPr>
      <w:r>
        <w:rPr>
          <w:b/>
          <w:bCs/>
          <w:sz w:val="28"/>
          <w:szCs w:val="28"/>
        </w:rPr>
        <w:t>Annual Report</w:t>
      </w:r>
      <w:r w:rsidR="00524DD9">
        <w:rPr>
          <w:b/>
          <w:bCs/>
          <w:sz w:val="28"/>
          <w:szCs w:val="28"/>
        </w:rPr>
        <w:t xml:space="preserve"> 2024-2025</w:t>
      </w:r>
    </w:p>
    <w:p w14:paraId="5D9FB65F" w14:textId="3B4F115B" w:rsidR="00865BBB" w:rsidRDefault="00865BBB" w:rsidP="006E60D6">
      <w:pPr>
        <w:spacing w:after="160"/>
      </w:pPr>
      <w:r>
        <w:rPr>
          <w:b/>
          <w:bCs/>
          <w:sz w:val="20"/>
          <w:szCs w:val="20"/>
        </w:rPr>
        <w:t>Committee Name:</w:t>
      </w:r>
      <w:r w:rsidR="00524DD9" w:rsidRPr="00524DD9">
        <w:t xml:space="preserve"> </w:t>
      </w:r>
      <w:r w:rsidR="00524DD9" w:rsidRPr="006E60D6">
        <w:rPr>
          <w:sz w:val="18"/>
          <w:szCs w:val="18"/>
        </w:rPr>
        <w:t>Faculty Affairs Policy Committee</w:t>
      </w:r>
    </w:p>
    <w:p w14:paraId="33FE188F" w14:textId="000EA2CB" w:rsidR="00865BBB" w:rsidRDefault="00865BBB" w:rsidP="006E60D6">
      <w:pPr>
        <w:spacing w:after="160"/>
      </w:pPr>
      <w:r>
        <w:rPr>
          <w:b/>
          <w:bCs/>
          <w:sz w:val="20"/>
          <w:szCs w:val="20"/>
        </w:rPr>
        <w:t>Academic Year:</w:t>
      </w:r>
      <w:r w:rsidR="00524DD9">
        <w:rPr>
          <w:b/>
          <w:bCs/>
          <w:sz w:val="20"/>
          <w:szCs w:val="20"/>
        </w:rPr>
        <w:t xml:space="preserve"> </w:t>
      </w:r>
      <w:r w:rsidR="00524DD9" w:rsidRPr="006E60D6">
        <w:rPr>
          <w:sz w:val="18"/>
          <w:szCs w:val="18"/>
        </w:rPr>
        <w:t>2024-2025</w:t>
      </w:r>
    </w:p>
    <w:p w14:paraId="5F369BFE" w14:textId="77777777" w:rsidR="00865BBB" w:rsidRDefault="00865BBB" w:rsidP="007F5653">
      <w:r>
        <w:rPr>
          <w:b/>
          <w:bCs/>
          <w:sz w:val="20"/>
          <w:szCs w:val="20"/>
        </w:rPr>
        <w:t>Committee Charge:</w:t>
      </w:r>
    </w:p>
    <w:p w14:paraId="6E847450" w14:textId="77777777" w:rsidR="00524DD9" w:rsidRPr="00524DD9" w:rsidRDefault="00524DD9" w:rsidP="006E60D6">
      <w:pPr>
        <w:numPr>
          <w:ilvl w:val="0"/>
          <w:numId w:val="1"/>
        </w:numPr>
        <w:rPr>
          <w:sz w:val="18"/>
          <w:szCs w:val="18"/>
        </w:rPr>
      </w:pPr>
      <w:r w:rsidRPr="00524DD9">
        <w:rPr>
          <w:b/>
          <w:bCs/>
          <w:sz w:val="18"/>
          <w:szCs w:val="18"/>
        </w:rPr>
        <w:t>V.Section</w:t>
      </w:r>
      <w:proofErr w:type="gramStart"/>
      <w:r w:rsidRPr="00524DD9">
        <w:rPr>
          <w:b/>
          <w:bCs/>
          <w:sz w:val="18"/>
          <w:szCs w:val="18"/>
        </w:rPr>
        <w:t>2.C.3.a</w:t>
      </w:r>
      <w:proofErr w:type="gramEnd"/>
      <w:r w:rsidRPr="00524DD9">
        <w:rPr>
          <w:b/>
          <w:bCs/>
          <w:sz w:val="18"/>
          <w:szCs w:val="18"/>
        </w:rPr>
        <w:t> </w:t>
      </w:r>
      <w:r w:rsidRPr="00524DD9">
        <w:rPr>
          <w:b/>
          <w:bCs/>
          <w:i/>
          <w:iCs/>
          <w:sz w:val="18"/>
          <w:szCs w:val="18"/>
        </w:rPr>
        <w:t>Membership</w:t>
      </w:r>
      <w:r w:rsidRPr="00524DD9">
        <w:rPr>
          <w:b/>
          <w:bCs/>
          <w:sz w:val="18"/>
          <w:szCs w:val="18"/>
        </w:rPr>
        <w:t>.</w:t>
      </w:r>
      <w:r w:rsidRPr="00524DD9">
        <w:rPr>
          <w:sz w:val="18"/>
          <w:szCs w:val="18"/>
        </w:rPr>
        <w:t> The Faculty Affairs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6A6F21DD" w14:textId="77777777" w:rsidR="00524DD9" w:rsidRPr="00524DD9" w:rsidRDefault="00524DD9" w:rsidP="006E60D6">
      <w:pPr>
        <w:numPr>
          <w:ilvl w:val="0"/>
          <w:numId w:val="1"/>
        </w:numPr>
        <w:spacing w:after="160"/>
        <w:rPr>
          <w:sz w:val="18"/>
          <w:szCs w:val="18"/>
        </w:rPr>
      </w:pPr>
      <w:r w:rsidRPr="00524DD9">
        <w:rPr>
          <w:b/>
          <w:bCs/>
          <w:sz w:val="18"/>
          <w:szCs w:val="18"/>
        </w:rPr>
        <w:t>V.Section</w:t>
      </w:r>
      <w:proofErr w:type="gramStart"/>
      <w:r w:rsidRPr="00524DD9">
        <w:rPr>
          <w:b/>
          <w:bCs/>
          <w:sz w:val="18"/>
          <w:szCs w:val="18"/>
        </w:rPr>
        <w:t>2.C.3.b</w:t>
      </w:r>
      <w:proofErr w:type="gramEnd"/>
      <w:r w:rsidRPr="00524DD9">
        <w:rPr>
          <w:b/>
          <w:bCs/>
          <w:sz w:val="18"/>
          <w:szCs w:val="18"/>
        </w:rPr>
        <w:t> </w:t>
      </w:r>
      <w:r w:rsidRPr="00524DD9">
        <w:rPr>
          <w:b/>
          <w:bCs/>
          <w:i/>
          <w:iCs/>
          <w:sz w:val="18"/>
          <w:szCs w:val="18"/>
        </w:rPr>
        <w:t>Scope</w:t>
      </w:r>
      <w:r w:rsidRPr="00524DD9">
        <w:rPr>
          <w:b/>
          <w:bCs/>
          <w:sz w:val="18"/>
          <w:szCs w:val="18"/>
        </w:rPr>
        <w:t>.</w:t>
      </w:r>
      <w:r w:rsidRPr="00524DD9">
        <w:rPr>
          <w:sz w:val="18"/>
          <w:szCs w:val="18"/>
        </w:rPr>
        <w:t xml:space="preserve"> The Faculty Affairs Policy Committee 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w:t>
      </w:r>
      <w:proofErr w:type="gramStart"/>
      <w:r w:rsidRPr="00524DD9">
        <w:rPr>
          <w:sz w:val="18"/>
          <w:szCs w:val="18"/>
        </w:rPr>
        <w:t>appropriate</w:t>
      </w:r>
      <w:proofErr w:type="gramEnd"/>
      <w:r w:rsidRPr="00524DD9">
        <w:rPr>
          <w:sz w:val="18"/>
          <w:szCs w:val="18"/>
        </w:rPr>
        <w:t>, on procedural matters that affect the welfare of the faculty.</w:t>
      </w:r>
    </w:p>
    <w:p w14:paraId="677AE0A7" w14:textId="5247FA1B" w:rsidR="00865BBB" w:rsidRPr="00524DD9" w:rsidRDefault="00865BBB" w:rsidP="006E60D6">
      <w:pPr>
        <w:spacing w:after="160"/>
      </w:pPr>
      <w:r>
        <w:rPr>
          <w:b/>
          <w:bCs/>
          <w:sz w:val="20"/>
          <w:szCs w:val="20"/>
        </w:rPr>
        <w:t>Committee Calendar:</w:t>
      </w:r>
      <w:r w:rsidR="00524DD9">
        <w:rPr>
          <w:b/>
          <w:bCs/>
          <w:sz w:val="20"/>
          <w:szCs w:val="20"/>
        </w:rPr>
        <w:t xml:space="preserve"> </w:t>
      </w:r>
      <w:r w:rsidR="00524DD9" w:rsidRPr="006E60D6">
        <w:rPr>
          <w:sz w:val="18"/>
          <w:szCs w:val="18"/>
        </w:rPr>
        <w:t>9/6/24, 10/4/24, 11/1/24</w:t>
      </w:r>
      <w:r w:rsidR="00170128" w:rsidRPr="006E60D6">
        <w:rPr>
          <w:sz w:val="18"/>
          <w:szCs w:val="18"/>
        </w:rPr>
        <w:t>, 1/10/25, 2/7/25, 3/7/25, 4/4/25</w:t>
      </w:r>
    </w:p>
    <w:p w14:paraId="3655031C" w14:textId="38C0716E" w:rsidR="00865BBB" w:rsidRDefault="00865BBB" w:rsidP="00865BBB">
      <w:r>
        <w:rPr>
          <w:b/>
          <w:bCs/>
          <w:sz w:val="20"/>
          <w:szCs w:val="20"/>
        </w:rPr>
        <w:t>Executive Summary</w:t>
      </w:r>
      <w:r>
        <w:rPr>
          <w:sz w:val="20"/>
          <w:szCs w:val="20"/>
        </w:rPr>
        <w:t>:</w:t>
      </w:r>
    </w:p>
    <w:p w14:paraId="47E69879" w14:textId="77777777" w:rsidR="005071F3" w:rsidRDefault="005071F3" w:rsidP="005071F3">
      <w:pPr>
        <w:spacing w:after="160"/>
        <w:rPr>
          <w:iCs/>
          <w:sz w:val="18"/>
          <w:szCs w:val="18"/>
        </w:rPr>
      </w:pPr>
      <w:r w:rsidRPr="005071F3">
        <w:rPr>
          <w:iCs/>
          <w:sz w:val="18"/>
          <w:szCs w:val="18"/>
        </w:rPr>
        <w:t>This narrative abstract offers an overview of the Faculty Affairs Policy Committee’s key deliberations and initiatives from September 2024 through March 2025. The committee’s work coalesced around data-driven policy reviews, enhanced evaluation practices, transparent leave processes, and improved faculty well-being at university events.</w:t>
      </w:r>
    </w:p>
    <w:p w14:paraId="3A96299A" w14:textId="77777777" w:rsidR="008B1F8B" w:rsidRPr="006E60D6" w:rsidRDefault="008B1F8B" w:rsidP="008B1F8B">
      <w:pPr>
        <w:spacing w:after="120"/>
        <w:rPr>
          <w:iCs/>
          <w:sz w:val="18"/>
          <w:szCs w:val="18"/>
        </w:rPr>
      </w:pPr>
      <w:r w:rsidRPr="006E60D6">
        <w:rPr>
          <w:b/>
          <w:bCs/>
          <w:iCs/>
          <w:sz w:val="18"/>
          <w:szCs w:val="18"/>
        </w:rPr>
        <w:t>Compensation &amp; Workload Policy Data Gathering</w:t>
      </w:r>
      <w:r w:rsidRPr="007F5653">
        <w:rPr>
          <w:iCs/>
          <w:sz w:val="18"/>
          <w:szCs w:val="18"/>
        </w:rPr>
        <w:t>:</w:t>
      </w:r>
      <w:r>
        <w:rPr>
          <w:b/>
          <w:bCs/>
          <w:iCs/>
          <w:sz w:val="18"/>
          <w:szCs w:val="18"/>
        </w:rPr>
        <w:t xml:space="preserve"> </w:t>
      </w:r>
      <w:r w:rsidRPr="006E60D6">
        <w:rPr>
          <w:iCs/>
          <w:sz w:val="18"/>
          <w:szCs w:val="18"/>
        </w:rPr>
        <w:t xml:space="preserve">FAPC launched a multi-phase study to </w:t>
      </w:r>
      <w:r w:rsidRPr="006E60D6">
        <w:rPr>
          <w:b/>
          <w:bCs/>
          <w:iCs/>
          <w:sz w:val="18"/>
          <w:szCs w:val="18"/>
        </w:rPr>
        <w:t>benchmark and refine faculty compensation and workload structures</w:t>
      </w:r>
      <w:r w:rsidRPr="006E60D6">
        <w:rPr>
          <w:iCs/>
          <w:sz w:val="18"/>
          <w:szCs w:val="18"/>
        </w:rPr>
        <w:t xml:space="preserve">. In September, Jennifer Flory secured Provost-level approval to request detailed data on part-time faculty salaries, Program Coordinator stipends, and overload pay. By November, Academic Affairs had supplied preliminary figures, prompting follow-up queries to clarify salary </w:t>
      </w:r>
      <w:proofErr w:type="gramStart"/>
      <w:r w:rsidRPr="006E60D6">
        <w:rPr>
          <w:iCs/>
          <w:sz w:val="18"/>
          <w:szCs w:val="18"/>
        </w:rPr>
        <w:t>bands</w:t>
      </w:r>
      <w:proofErr w:type="gramEnd"/>
      <w:r w:rsidRPr="006E60D6">
        <w:rPr>
          <w:iCs/>
          <w:sz w:val="18"/>
          <w:szCs w:val="18"/>
        </w:rPr>
        <w:t xml:space="preserve"> and eligibility criteria. In February, the committee expanded its request to include summer-salary provisions and granular breakdowns of coordinator duties, administrative support, and service-counting policies.</w:t>
      </w:r>
      <w:r>
        <w:rPr>
          <w:iCs/>
          <w:sz w:val="18"/>
          <w:szCs w:val="18"/>
        </w:rPr>
        <w:t xml:space="preserve"> This study will continue into the 2024-2025 AY.</w:t>
      </w:r>
      <w:r w:rsidRPr="006E60D6">
        <w:rPr>
          <w:iCs/>
          <w:sz w:val="18"/>
          <w:szCs w:val="18"/>
        </w:rPr>
        <w:t xml:space="preserve"> </w:t>
      </w:r>
    </w:p>
    <w:p w14:paraId="2DC6D376" w14:textId="6EA8AF33" w:rsidR="008B1F8B" w:rsidRPr="006E60D6" w:rsidRDefault="008B1F8B" w:rsidP="008B1F8B">
      <w:pPr>
        <w:spacing w:after="120"/>
        <w:rPr>
          <w:iCs/>
          <w:sz w:val="18"/>
          <w:szCs w:val="18"/>
        </w:rPr>
      </w:pPr>
      <w:r w:rsidRPr="006E60D6">
        <w:rPr>
          <w:b/>
          <w:bCs/>
          <w:iCs/>
          <w:sz w:val="18"/>
          <w:szCs w:val="18"/>
        </w:rPr>
        <w:t>Teaching &amp; Course Evaluation Policies</w:t>
      </w:r>
      <w:r w:rsidRPr="007F5653">
        <w:rPr>
          <w:iCs/>
          <w:sz w:val="18"/>
          <w:szCs w:val="18"/>
        </w:rPr>
        <w:t>:</w:t>
      </w:r>
      <w:r>
        <w:rPr>
          <w:b/>
          <w:bCs/>
          <w:iCs/>
          <w:sz w:val="18"/>
          <w:szCs w:val="18"/>
        </w:rPr>
        <w:t xml:space="preserve"> </w:t>
      </w:r>
      <w:r w:rsidRPr="006E60D6">
        <w:rPr>
          <w:iCs/>
          <w:sz w:val="18"/>
          <w:szCs w:val="18"/>
        </w:rPr>
        <w:t xml:space="preserve">In response to unintended consequences of the updated Student Opinion Survey (SRIS) policy, FAPC worked to </w:t>
      </w:r>
      <w:r w:rsidRPr="006E60D6">
        <w:rPr>
          <w:b/>
          <w:bCs/>
          <w:iCs/>
          <w:sz w:val="18"/>
          <w:szCs w:val="18"/>
        </w:rPr>
        <w:t>ensure fair evaluations</w:t>
      </w:r>
      <w:r w:rsidRPr="006E60D6">
        <w:rPr>
          <w:iCs/>
          <w:sz w:val="18"/>
          <w:szCs w:val="18"/>
        </w:rPr>
        <w:t xml:space="preserve"> for co-taught, lab-supervised, and cross-listed courses. Committee members endorsed David Smith’s recommendation to flag such courses in Banner and advised faculty to collaborate with departmental administrators for accurate survey assignments. Concurrently, FAPC </w:t>
      </w:r>
      <w:r>
        <w:rPr>
          <w:iCs/>
          <w:sz w:val="18"/>
          <w:szCs w:val="18"/>
        </w:rPr>
        <w:t>explored</w:t>
      </w:r>
      <w:r w:rsidRPr="006E60D6">
        <w:rPr>
          <w:iCs/>
          <w:sz w:val="18"/>
          <w:szCs w:val="18"/>
        </w:rPr>
        <w:t xml:space="preserve"> the </w:t>
      </w:r>
      <w:r w:rsidRPr="006E60D6">
        <w:rPr>
          <w:b/>
          <w:bCs/>
          <w:iCs/>
          <w:sz w:val="18"/>
          <w:szCs w:val="18"/>
        </w:rPr>
        <w:t>integration of a CTL-hosted resource link into SRIS and Annual Evaluation policies</w:t>
      </w:r>
      <w:r>
        <w:rPr>
          <w:iCs/>
          <w:sz w:val="18"/>
          <w:szCs w:val="18"/>
        </w:rPr>
        <w:t xml:space="preserve"> through the </w:t>
      </w:r>
      <w:r w:rsidRPr="008B1F8B">
        <w:rPr>
          <w:b/>
          <w:bCs/>
          <w:iCs/>
          <w:sz w:val="18"/>
          <w:szCs w:val="18"/>
        </w:rPr>
        <w:t>Teaching Effectiveness Ad Hoc Committee</w:t>
      </w:r>
      <w:r>
        <w:rPr>
          <w:iCs/>
          <w:sz w:val="18"/>
          <w:szCs w:val="18"/>
        </w:rPr>
        <w:t>.</w:t>
      </w:r>
      <w:r w:rsidRPr="00897699">
        <w:t xml:space="preserve"> </w:t>
      </w:r>
      <w:r w:rsidRPr="00897699">
        <w:rPr>
          <w:iCs/>
          <w:sz w:val="18"/>
          <w:szCs w:val="18"/>
        </w:rPr>
        <w:t>When the committee’s focus began to stray, FAPC stepped in to realign its charge and refocus its objectives</w:t>
      </w:r>
      <w:r w:rsidRPr="006E60D6">
        <w:rPr>
          <w:iCs/>
          <w:sz w:val="18"/>
          <w:szCs w:val="18"/>
        </w:rPr>
        <w:t xml:space="preserve">. This </w:t>
      </w:r>
      <w:hyperlink r:id="rId8" w:history="1">
        <w:r w:rsidRPr="00EE1D8B">
          <w:rPr>
            <w:rStyle w:val="Hyperlink"/>
            <w:iCs/>
            <w:sz w:val="18"/>
            <w:szCs w:val="18"/>
          </w:rPr>
          <w:t>list</w:t>
        </w:r>
      </w:hyperlink>
      <w:r w:rsidRPr="006E60D6">
        <w:rPr>
          <w:iCs/>
          <w:sz w:val="18"/>
          <w:szCs w:val="18"/>
        </w:rPr>
        <w:t xml:space="preserve"> is slated for publication in the CTL Faculty course on </w:t>
      </w:r>
      <w:proofErr w:type="spellStart"/>
      <w:r w:rsidRPr="006E60D6">
        <w:rPr>
          <w:iCs/>
          <w:sz w:val="18"/>
          <w:szCs w:val="18"/>
        </w:rPr>
        <w:t>GaView</w:t>
      </w:r>
      <w:proofErr w:type="spellEnd"/>
      <w:r w:rsidRPr="006E60D6">
        <w:rPr>
          <w:iCs/>
          <w:sz w:val="18"/>
          <w:szCs w:val="18"/>
        </w:rPr>
        <w:t xml:space="preserve"> </w:t>
      </w:r>
      <w:r>
        <w:rPr>
          <w:iCs/>
          <w:sz w:val="18"/>
          <w:szCs w:val="18"/>
        </w:rPr>
        <w:t>in Fall 2025</w:t>
      </w:r>
      <w:r w:rsidRPr="006E60D6">
        <w:rPr>
          <w:iCs/>
          <w:sz w:val="18"/>
          <w:szCs w:val="18"/>
        </w:rPr>
        <w:t xml:space="preserve">. Amid these efforts, the committee also </w:t>
      </w:r>
      <w:r>
        <w:rPr>
          <w:iCs/>
          <w:sz w:val="18"/>
          <w:szCs w:val="18"/>
        </w:rPr>
        <w:t>discussed</w:t>
      </w:r>
      <w:r w:rsidRPr="006E60D6">
        <w:rPr>
          <w:iCs/>
          <w:sz w:val="18"/>
          <w:szCs w:val="18"/>
        </w:rPr>
        <w:t xml:space="preserve"> </w:t>
      </w:r>
      <w:r w:rsidRPr="00B4519F">
        <w:rPr>
          <w:b/>
          <w:bCs/>
          <w:iCs/>
          <w:sz w:val="18"/>
          <w:szCs w:val="18"/>
        </w:rPr>
        <w:t>re</w:t>
      </w:r>
      <w:r w:rsidRPr="006E60D6">
        <w:rPr>
          <w:b/>
          <w:bCs/>
          <w:iCs/>
          <w:sz w:val="18"/>
          <w:szCs w:val="18"/>
        </w:rPr>
        <w:t>align</w:t>
      </w:r>
      <w:r w:rsidRPr="00B4519F">
        <w:rPr>
          <w:b/>
          <w:bCs/>
          <w:iCs/>
          <w:sz w:val="18"/>
          <w:szCs w:val="18"/>
        </w:rPr>
        <w:t>ing</w:t>
      </w:r>
      <w:r w:rsidRPr="006E60D6">
        <w:rPr>
          <w:b/>
          <w:bCs/>
          <w:iCs/>
          <w:sz w:val="18"/>
          <w:szCs w:val="18"/>
        </w:rPr>
        <w:t xml:space="preserve"> tenure-evaluation criteria</w:t>
      </w:r>
      <w:r w:rsidRPr="006E60D6">
        <w:rPr>
          <w:iCs/>
          <w:sz w:val="18"/>
          <w:szCs w:val="18"/>
        </w:rPr>
        <w:t xml:space="preserve"> with the Board of Regents’ five-category model, responding to USG Academic Affairs’ call for “norming” of tenure scores.</w:t>
      </w:r>
    </w:p>
    <w:p w14:paraId="3FAB1987" w14:textId="4B8BA528" w:rsidR="008B1F8B" w:rsidRPr="006E60D6" w:rsidRDefault="008B1F8B" w:rsidP="008B1F8B">
      <w:pPr>
        <w:spacing w:after="120"/>
        <w:rPr>
          <w:iCs/>
          <w:sz w:val="18"/>
          <w:szCs w:val="18"/>
        </w:rPr>
      </w:pPr>
      <w:r w:rsidRPr="006E60D6">
        <w:rPr>
          <w:b/>
          <w:bCs/>
          <w:iCs/>
          <w:sz w:val="18"/>
          <w:szCs w:val="18"/>
        </w:rPr>
        <w:t>Professional Leave Policy &amp; Rubric Development</w:t>
      </w:r>
      <w:r w:rsidRPr="007F5653">
        <w:rPr>
          <w:iCs/>
          <w:sz w:val="18"/>
          <w:szCs w:val="18"/>
        </w:rPr>
        <w:t>:</w:t>
      </w:r>
      <w:r>
        <w:rPr>
          <w:b/>
          <w:bCs/>
          <w:iCs/>
          <w:sz w:val="18"/>
          <w:szCs w:val="18"/>
        </w:rPr>
        <w:t xml:space="preserve"> </w:t>
      </w:r>
      <w:r w:rsidRPr="006E60D6">
        <w:rPr>
          <w:iCs/>
          <w:sz w:val="18"/>
          <w:szCs w:val="18"/>
        </w:rPr>
        <w:t xml:space="preserve">FAPC engaged in a </w:t>
      </w:r>
      <w:r w:rsidRPr="006E60D6">
        <w:rPr>
          <w:b/>
          <w:bCs/>
          <w:iCs/>
          <w:sz w:val="18"/>
          <w:szCs w:val="18"/>
        </w:rPr>
        <w:t>layered review of the university’s professional leave program</w:t>
      </w:r>
      <w:r w:rsidRPr="006E60D6">
        <w:rPr>
          <w:iCs/>
          <w:sz w:val="18"/>
          <w:szCs w:val="18"/>
        </w:rPr>
        <w:t xml:space="preserve"> to </w:t>
      </w:r>
      <w:r w:rsidRPr="006E60D6">
        <w:rPr>
          <w:b/>
          <w:bCs/>
          <w:iCs/>
          <w:sz w:val="18"/>
          <w:szCs w:val="18"/>
        </w:rPr>
        <w:t>bolster transparency and consistency</w:t>
      </w:r>
      <w:r w:rsidRPr="006E60D6">
        <w:rPr>
          <w:iCs/>
          <w:sz w:val="18"/>
          <w:szCs w:val="18"/>
        </w:rPr>
        <w:t>. Initial discussions highlighted discrepancies between legacy and current application forms and a</w:t>
      </w:r>
      <w:r>
        <w:rPr>
          <w:iCs/>
          <w:sz w:val="18"/>
          <w:szCs w:val="18"/>
        </w:rPr>
        <w:t xml:space="preserve"> </w:t>
      </w:r>
      <w:r w:rsidRPr="006E60D6">
        <w:rPr>
          <w:iCs/>
          <w:sz w:val="18"/>
          <w:szCs w:val="18"/>
        </w:rPr>
        <w:t xml:space="preserve">review rubric used by the A&amp;S panel. After soliciting clarification from Academic Affairs, FAPC recommended that university-level standards be articulated first, then that the </w:t>
      </w:r>
      <w:r>
        <w:rPr>
          <w:iCs/>
          <w:sz w:val="18"/>
          <w:szCs w:val="18"/>
        </w:rPr>
        <w:t xml:space="preserve">college </w:t>
      </w:r>
      <w:r w:rsidRPr="006E60D6">
        <w:rPr>
          <w:iCs/>
          <w:sz w:val="18"/>
          <w:szCs w:val="18"/>
        </w:rPr>
        <w:t xml:space="preserve">rubric be realigned accordingly and shared with applicants. To institutionalize these improvements, the committee will convene an </w:t>
      </w:r>
      <w:r w:rsidRPr="006E60D6">
        <w:rPr>
          <w:b/>
          <w:bCs/>
          <w:iCs/>
          <w:sz w:val="18"/>
          <w:szCs w:val="18"/>
        </w:rPr>
        <w:t>ad hoc faculty panel</w:t>
      </w:r>
      <w:r w:rsidRPr="00A31E99">
        <w:rPr>
          <w:b/>
          <w:bCs/>
          <w:iCs/>
          <w:sz w:val="18"/>
          <w:szCs w:val="18"/>
        </w:rPr>
        <w:t xml:space="preserve"> in Fall 2025</w:t>
      </w:r>
      <w:r w:rsidRPr="006E60D6">
        <w:rPr>
          <w:iCs/>
          <w:sz w:val="18"/>
          <w:szCs w:val="18"/>
        </w:rPr>
        <w:t>—representing all colleges</w:t>
      </w:r>
      <w:r w:rsidR="00D0717D">
        <w:rPr>
          <w:iCs/>
          <w:sz w:val="18"/>
          <w:szCs w:val="18"/>
        </w:rPr>
        <w:t xml:space="preserve"> and Academic Affairs</w:t>
      </w:r>
      <w:r w:rsidRPr="006E60D6">
        <w:rPr>
          <w:iCs/>
          <w:sz w:val="18"/>
          <w:szCs w:val="18"/>
        </w:rPr>
        <w:t xml:space="preserve">—to define key terms, establish award quotas or balanced allocations, and </w:t>
      </w:r>
      <w:r w:rsidRPr="006E60D6">
        <w:rPr>
          <w:b/>
          <w:bCs/>
          <w:iCs/>
          <w:sz w:val="18"/>
          <w:szCs w:val="18"/>
        </w:rPr>
        <w:t xml:space="preserve">craft </w:t>
      </w:r>
      <w:r w:rsidRPr="00E2539B">
        <w:rPr>
          <w:b/>
          <w:bCs/>
          <w:iCs/>
          <w:sz w:val="18"/>
          <w:szCs w:val="18"/>
        </w:rPr>
        <w:t>a unified</w:t>
      </w:r>
      <w:r w:rsidRPr="006E60D6">
        <w:rPr>
          <w:b/>
          <w:bCs/>
          <w:iCs/>
          <w:sz w:val="18"/>
          <w:szCs w:val="18"/>
        </w:rPr>
        <w:t xml:space="preserve"> rubric for FY 2026 proposals</w:t>
      </w:r>
      <w:r w:rsidRPr="006E60D6">
        <w:rPr>
          <w:iCs/>
          <w:sz w:val="18"/>
          <w:szCs w:val="18"/>
        </w:rPr>
        <w:t>.</w:t>
      </w:r>
    </w:p>
    <w:p w14:paraId="21FF2AB5" w14:textId="77777777" w:rsidR="008B1F8B" w:rsidRPr="006E60D6" w:rsidRDefault="008B1F8B" w:rsidP="008B1F8B">
      <w:pPr>
        <w:spacing w:after="120"/>
        <w:rPr>
          <w:iCs/>
          <w:sz w:val="18"/>
          <w:szCs w:val="18"/>
        </w:rPr>
      </w:pPr>
      <w:r w:rsidRPr="006E60D6">
        <w:rPr>
          <w:b/>
          <w:bCs/>
          <w:iCs/>
          <w:sz w:val="18"/>
          <w:szCs w:val="18"/>
        </w:rPr>
        <w:t>Faculty Attendance &amp; Regalia Policy</w:t>
      </w:r>
      <w:r w:rsidRPr="007F5653">
        <w:rPr>
          <w:iCs/>
          <w:sz w:val="18"/>
          <w:szCs w:val="18"/>
        </w:rPr>
        <w:t>:</w:t>
      </w:r>
      <w:r>
        <w:rPr>
          <w:b/>
          <w:bCs/>
          <w:iCs/>
          <w:sz w:val="18"/>
          <w:szCs w:val="18"/>
        </w:rPr>
        <w:t xml:space="preserve"> </w:t>
      </w:r>
      <w:r w:rsidRPr="006E60D6">
        <w:rPr>
          <w:iCs/>
          <w:sz w:val="18"/>
          <w:szCs w:val="18"/>
        </w:rPr>
        <w:t xml:space="preserve">FAPC addressed </w:t>
      </w:r>
      <w:r w:rsidRPr="006E60D6">
        <w:rPr>
          <w:b/>
          <w:bCs/>
          <w:iCs/>
          <w:sz w:val="18"/>
          <w:szCs w:val="18"/>
        </w:rPr>
        <w:t>health and safety concerns</w:t>
      </w:r>
      <w:r w:rsidRPr="006E60D6">
        <w:rPr>
          <w:iCs/>
          <w:sz w:val="18"/>
          <w:szCs w:val="18"/>
        </w:rPr>
        <w:t xml:space="preserve"> surrounding </w:t>
      </w:r>
      <w:r w:rsidRPr="006E60D6">
        <w:rPr>
          <w:b/>
          <w:bCs/>
          <w:iCs/>
          <w:sz w:val="18"/>
          <w:szCs w:val="18"/>
        </w:rPr>
        <w:t>mandatory university events</w:t>
      </w:r>
      <w:r w:rsidRPr="006E60D6">
        <w:rPr>
          <w:iCs/>
          <w:sz w:val="18"/>
          <w:szCs w:val="18"/>
        </w:rPr>
        <w:t xml:space="preserve">—Graduation, Convocation, Academic Expo, </w:t>
      </w:r>
      <w:r>
        <w:rPr>
          <w:iCs/>
          <w:sz w:val="18"/>
          <w:szCs w:val="18"/>
        </w:rPr>
        <w:t>etc</w:t>
      </w:r>
      <w:r w:rsidRPr="006E60D6">
        <w:rPr>
          <w:iCs/>
          <w:sz w:val="18"/>
          <w:szCs w:val="18"/>
        </w:rPr>
        <w:t xml:space="preserve">. Faculty recounted stifling line-ups, prolonged exposure to heat, and inadequate seating. To mitigate these risks, the committee recommended shortening ceremonies, increasing chair spacing, providing climate-controlled waiting areas, and offering hybrid or rescheduled formats. </w:t>
      </w:r>
      <w:r w:rsidRPr="007A15FA">
        <w:rPr>
          <w:iCs/>
          <w:sz w:val="18"/>
          <w:szCs w:val="18"/>
        </w:rPr>
        <w:t>FAPC recommend</w:t>
      </w:r>
      <w:r>
        <w:rPr>
          <w:iCs/>
          <w:sz w:val="18"/>
          <w:szCs w:val="18"/>
        </w:rPr>
        <w:t>ed</w:t>
      </w:r>
      <w:r w:rsidRPr="007A15FA">
        <w:rPr>
          <w:iCs/>
          <w:sz w:val="18"/>
          <w:szCs w:val="18"/>
        </w:rPr>
        <w:t xml:space="preserve"> the University offer </w:t>
      </w:r>
      <w:proofErr w:type="gramStart"/>
      <w:r w:rsidRPr="007A15FA">
        <w:rPr>
          <w:iCs/>
          <w:sz w:val="18"/>
          <w:szCs w:val="18"/>
        </w:rPr>
        <w:t>accommodations</w:t>
      </w:r>
      <w:proofErr w:type="gramEnd"/>
      <w:r w:rsidRPr="007A15FA">
        <w:rPr>
          <w:iCs/>
          <w:sz w:val="18"/>
          <w:szCs w:val="18"/>
        </w:rPr>
        <w:t xml:space="preserve"> and/or alternative arrangements for University events for those with medical concerns and issues.</w:t>
      </w:r>
      <w:r>
        <w:rPr>
          <w:iCs/>
          <w:sz w:val="18"/>
          <w:szCs w:val="18"/>
        </w:rPr>
        <w:t xml:space="preserve"> The issue was raised again in July and the Provost said that the Convocation planning</w:t>
      </w:r>
      <w:r w:rsidRPr="007A15FA">
        <w:rPr>
          <w:iCs/>
          <w:sz w:val="18"/>
          <w:szCs w:val="18"/>
        </w:rPr>
        <w:t xml:space="preserve"> committee </w:t>
      </w:r>
      <w:r>
        <w:rPr>
          <w:iCs/>
          <w:sz w:val="18"/>
          <w:szCs w:val="18"/>
        </w:rPr>
        <w:t>would</w:t>
      </w:r>
      <w:r w:rsidRPr="007A15FA">
        <w:rPr>
          <w:iCs/>
          <w:sz w:val="18"/>
          <w:szCs w:val="18"/>
        </w:rPr>
        <w:t xml:space="preserve"> discuss </w:t>
      </w:r>
      <w:r>
        <w:rPr>
          <w:iCs/>
          <w:sz w:val="18"/>
          <w:szCs w:val="18"/>
        </w:rPr>
        <w:t>the</w:t>
      </w:r>
      <w:r w:rsidRPr="007A15FA">
        <w:rPr>
          <w:iCs/>
          <w:sz w:val="18"/>
          <w:szCs w:val="18"/>
        </w:rPr>
        <w:t xml:space="preserve"> concerns and provide information on how faculty can request </w:t>
      </w:r>
      <w:proofErr w:type="gramStart"/>
      <w:r w:rsidRPr="007A15FA">
        <w:rPr>
          <w:iCs/>
          <w:sz w:val="18"/>
          <w:szCs w:val="18"/>
        </w:rPr>
        <w:t>accommodations</w:t>
      </w:r>
      <w:proofErr w:type="gramEnd"/>
      <w:r w:rsidRPr="007A15FA">
        <w:rPr>
          <w:iCs/>
          <w:sz w:val="18"/>
          <w:szCs w:val="18"/>
        </w:rPr>
        <w:t xml:space="preserve"> and what resources will be available to make the events of the day as accessible as possible.</w:t>
      </w:r>
    </w:p>
    <w:p w14:paraId="5516335A" w14:textId="77777777" w:rsidR="008B1F8B" w:rsidRPr="00E36B2F" w:rsidRDefault="008B1F8B" w:rsidP="008B1F8B">
      <w:pPr>
        <w:spacing w:after="160"/>
        <w:rPr>
          <w:iCs/>
          <w:sz w:val="18"/>
          <w:szCs w:val="18"/>
        </w:rPr>
      </w:pPr>
      <w:r w:rsidRPr="006E60D6">
        <w:rPr>
          <w:b/>
          <w:bCs/>
          <w:iCs/>
          <w:sz w:val="18"/>
          <w:szCs w:val="18"/>
        </w:rPr>
        <w:t>Modified Operations &amp; Committee Processes</w:t>
      </w:r>
      <w:r w:rsidRPr="007F5653">
        <w:rPr>
          <w:iCs/>
          <w:sz w:val="18"/>
          <w:szCs w:val="18"/>
        </w:rPr>
        <w:t>:</w:t>
      </w:r>
      <w:r>
        <w:rPr>
          <w:b/>
          <w:bCs/>
          <w:iCs/>
          <w:sz w:val="18"/>
          <w:szCs w:val="18"/>
        </w:rPr>
        <w:t xml:space="preserve"> </w:t>
      </w:r>
      <w:r w:rsidRPr="006E60D6">
        <w:rPr>
          <w:iCs/>
          <w:sz w:val="18"/>
          <w:szCs w:val="18"/>
        </w:rPr>
        <w:t xml:space="preserve">FAPC reviewed </w:t>
      </w:r>
      <w:r>
        <w:rPr>
          <w:iCs/>
          <w:sz w:val="18"/>
          <w:szCs w:val="18"/>
        </w:rPr>
        <w:t>the draft of the</w:t>
      </w:r>
      <w:r w:rsidRPr="006E60D6">
        <w:rPr>
          <w:iCs/>
          <w:sz w:val="18"/>
          <w:szCs w:val="18"/>
        </w:rPr>
        <w:t xml:space="preserve"> Modified Operations Policy with Nicholas Creel and Cara Smith. The goal is to distill procedural details into a succinct HR policy while retaining essential governance provisions in the committee handbook. Proposed changes </w:t>
      </w:r>
      <w:r>
        <w:rPr>
          <w:iCs/>
          <w:sz w:val="18"/>
          <w:szCs w:val="18"/>
        </w:rPr>
        <w:t>were</w:t>
      </w:r>
      <w:r w:rsidRPr="006E60D6">
        <w:rPr>
          <w:iCs/>
          <w:sz w:val="18"/>
          <w:szCs w:val="18"/>
        </w:rPr>
        <w:t xml:space="preserve"> tracked in the Faculty Evaluation Policy and circulated to Academic Affairs</w:t>
      </w:r>
      <w:r>
        <w:rPr>
          <w:iCs/>
          <w:sz w:val="18"/>
          <w:szCs w:val="18"/>
        </w:rPr>
        <w:t xml:space="preserve"> and</w:t>
      </w:r>
      <w:r w:rsidRPr="006E60D6">
        <w:rPr>
          <w:iCs/>
          <w:sz w:val="18"/>
          <w:szCs w:val="18"/>
        </w:rPr>
        <w:t xml:space="preserve"> ECUS</w:t>
      </w:r>
      <w:r>
        <w:rPr>
          <w:iCs/>
          <w:sz w:val="18"/>
          <w:szCs w:val="18"/>
        </w:rPr>
        <w:t xml:space="preserve"> members </w:t>
      </w:r>
      <w:r w:rsidRPr="006E60D6">
        <w:rPr>
          <w:iCs/>
          <w:sz w:val="18"/>
          <w:szCs w:val="18"/>
        </w:rPr>
        <w:t>for review.</w:t>
      </w:r>
      <w:r>
        <w:rPr>
          <w:iCs/>
          <w:sz w:val="18"/>
          <w:szCs w:val="18"/>
        </w:rPr>
        <w:t xml:space="preserve"> The committee will review and vote on the revised policy at the earliest opportunity in Fall 2025.</w:t>
      </w:r>
    </w:p>
    <w:p w14:paraId="28E83DC1" w14:textId="238D0EB9" w:rsidR="00E67B63" w:rsidRDefault="00E67B63" w:rsidP="008B1F8B">
      <w:pPr>
        <w:spacing w:after="120"/>
        <w:rPr>
          <w:iCs/>
          <w:sz w:val="18"/>
          <w:szCs w:val="18"/>
        </w:rPr>
      </w:pPr>
    </w:p>
    <w:p w14:paraId="7F09799D" w14:textId="77777777" w:rsidR="00EE1D8B" w:rsidRPr="00E67B63" w:rsidRDefault="00EE1D8B" w:rsidP="008B1F8B">
      <w:pPr>
        <w:spacing w:after="120"/>
        <w:rPr>
          <w:iCs/>
          <w:sz w:val="18"/>
          <w:szCs w:val="18"/>
        </w:rPr>
      </w:pPr>
    </w:p>
    <w:p w14:paraId="5BA521E9" w14:textId="5F207201" w:rsidR="00865BBB" w:rsidRDefault="00865BBB" w:rsidP="00865BBB">
      <w:r>
        <w:rPr>
          <w:b/>
          <w:bCs/>
          <w:sz w:val="20"/>
          <w:szCs w:val="20"/>
        </w:rPr>
        <w:lastRenderedPageBreak/>
        <w:t>Committee Membership</w:t>
      </w:r>
      <w:r>
        <w:rPr>
          <w:sz w:val="20"/>
          <w:szCs w:val="20"/>
        </w:rPr>
        <w:t xml:space="preserve"> </w:t>
      </w:r>
      <w:r>
        <w:rPr>
          <w:b/>
          <w:bCs/>
          <w:sz w:val="20"/>
          <w:szCs w:val="20"/>
        </w:rPr>
        <w:t>and Record of Attendance:</w:t>
      </w:r>
    </w:p>
    <w:tbl>
      <w:tblPr>
        <w:tblStyle w:val="TableGrid"/>
        <w:tblW w:w="0" w:type="auto"/>
        <w:tblLook w:val="04A0" w:firstRow="1" w:lastRow="0" w:firstColumn="1" w:lastColumn="0" w:noHBand="0" w:noVBand="1"/>
      </w:tblPr>
      <w:tblGrid>
        <w:gridCol w:w="2887"/>
        <w:gridCol w:w="447"/>
        <w:gridCol w:w="537"/>
        <w:gridCol w:w="537"/>
        <w:gridCol w:w="537"/>
        <w:gridCol w:w="447"/>
        <w:gridCol w:w="447"/>
        <w:gridCol w:w="447"/>
      </w:tblGrid>
      <w:tr w:rsidR="005721D3" w:rsidRPr="00374DFA" w14:paraId="79EA2AE6" w14:textId="77777777" w:rsidTr="00BC78B4">
        <w:tc>
          <w:tcPr>
            <w:tcW w:w="0" w:type="auto"/>
          </w:tcPr>
          <w:p w14:paraId="0F570681" w14:textId="21E0E094" w:rsidR="00E2539B" w:rsidRPr="00374DFA" w:rsidRDefault="00E2539B" w:rsidP="00BC78B4">
            <w:pPr>
              <w:rPr>
                <w:b/>
                <w:bCs/>
                <w:sz w:val="18"/>
                <w:szCs w:val="18"/>
              </w:rPr>
            </w:pPr>
            <w:r w:rsidRPr="00374DFA">
              <w:rPr>
                <w:b/>
                <w:bCs/>
                <w:sz w:val="18"/>
                <w:szCs w:val="18"/>
              </w:rPr>
              <w:t>Members</w:t>
            </w:r>
          </w:p>
        </w:tc>
        <w:tc>
          <w:tcPr>
            <w:tcW w:w="0" w:type="auto"/>
          </w:tcPr>
          <w:p w14:paraId="18A14A33" w14:textId="2869442C" w:rsidR="00E2539B" w:rsidRPr="00374DFA" w:rsidRDefault="005721D3" w:rsidP="00BC78B4">
            <w:pPr>
              <w:rPr>
                <w:b/>
                <w:bCs/>
                <w:sz w:val="18"/>
                <w:szCs w:val="18"/>
              </w:rPr>
            </w:pPr>
            <w:r w:rsidRPr="00374DFA">
              <w:rPr>
                <w:b/>
                <w:bCs/>
                <w:sz w:val="18"/>
                <w:szCs w:val="18"/>
              </w:rPr>
              <w:t>9/6</w:t>
            </w:r>
          </w:p>
        </w:tc>
        <w:tc>
          <w:tcPr>
            <w:tcW w:w="0" w:type="auto"/>
          </w:tcPr>
          <w:p w14:paraId="7EA83701" w14:textId="516C7D33" w:rsidR="00E2539B" w:rsidRPr="00374DFA" w:rsidRDefault="005721D3" w:rsidP="00BC78B4">
            <w:pPr>
              <w:rPr>
                <w:b/>
                <w:bCs/>
                <w:sz w:val="18"/>
                <w:szCs w:val="18"/>
              </w:rPr>
            </w:pPr>
            <w:r w:rsidRPr="00374DFA">
              <w:rPr>
                <w:b/>
                <w:bCs/>
                <w:sz w:val="18"/>
                <w:szCs w:val="18"/>
              </w:rPr>
              <w:t>10/4</w:t>
            </w:r>
          </w:p>
        </w:tc>
        <w:tc>
          <w:tcPr>
            <w:tcW w:w="0" w:type="auto"/>
          </w:tcPr>
          <w:p w14:paraId="16530F36" w14:textId="03587553" w:rsidR="00E2539B" w:rsidRPr="00374DFA" w:rsidRDefault="005721D3" w:rsidP="00BC78B4">
            <w:pPr>
              <w:rPr>
                <w:b/>
                <w:bCs/>
                <w:sz w:val="18"/>
                <w:szCs w:val="18"/>
              </w:rPr>
            </w:pPr>
            <w:r w:rsidRPr="00374DFA">
              <w:rPr>
                <w:b/>
                <w:bCs/>
                <w:sz w:val="18"/>
                <w:szCs w:val="18"/>
              </w:rPr>
              <w:t>11/1</w:t>
            </w:r>
          </w:p>
        </w:tc>
        <w:tc>
          <w:tcPr>
            <w:tcW w:w="0" w:type="auto"/>
          </w:tcPr>
          <w:p w14:paraId="0B7B4930" w14:textId="09A19D12" w:rsidR="00E2539B" w:rsidRPr="00374DFA" w:rsidRDefault="005721D3" w:rsidP="00BC78B4">
            <w:pPr>
              <w:rPr>
                <w:b/>
                <w:bCs/>
                <w:sz w:val="18"/>
                <w:szCs w:val="18"/>
              </w:rPr>
            </w:pPr>
            <w:r w:rsidRPr="00374DFA">
              <w:rPr>
                <w:b/>
                <w:bCs/>
                <w:sz w:val="18"/>
                <w:szCs w:val="18"/>
              </w:rPr>
              <w:t>1/10</w:t>
            </w:r>
          </w:p>
        </w:tc>
        <w:tc>
          <w:tcPr>
            <w:tcW w:w="0" w:type="auto"/>
          </w:tcPr>
          <w:p w14:paraId="13B35D41" w14:textId="663D1164" w:rsidR="00E2539B" w:rsidRPr="00374DFA" w:rsidRDefault="005721D3" w:rsidP="00BC78B4">
            <w:pPr>
              <w:rPr>
                <w:b/>
                <w:bCs/>
                <w:sz w:val="18"/>
                <w:szCs w:val="18"/>
              </w:rPr>
            </w:pPr>
            <w:r w:rsidRPr="00374DFA">
              <w:rPr>
                <w:b/>
                <w:bCs/>
                <w:sz w:val="18"/>
                <w:szCs w:val="18"/>
              </w:rPr>
              <w:t>2/7</w:t>
            </w:r>
          </w:p>
        </w:tc>
        <w:tc>
          <w:tcPr>
            <w:tcW w:w="0" w:type="auto"/>
          </w:tcPr>
          <w:p w14:paraId="630D3D89" w14:textId="462DF5F8" w:rsidR="00E2539B" w:rsidRPr="00374DFA" w:rsidRDefault="005721D3" w:rsidP="00BC78B4">
            <w:pPr>
              <w:rPr>
                <w:b/>
                <w:bCs/>
                <w:sz w:val="18"/>
                <w:szCs w:val="18"/>
              </w:rPr>
            </w:pPr>
            <w:r w:rsidRPr="00374DFA">
              <w:rPr>
                <w:b/>
                <w:bCs/>
                <w:sz w:val="18"/>
                <w:szCs w:val="18"/>
              </w:rPr>
              <w:t>3/7</w:t>
            </w:r>
          </w:p>
        </w:tc>
        <w:tc>
          <w:tcPr>
            <w:tcW w:w="0" w:type="auto"/>
          </w:tcPr>
          <w:p w14:paraId="0DFE9015" w14:textId="6F03382A" w:rsidR="00E2539B" w:rsidRPr="00374DFA" w:rsidRDefault="005721D3" w:rsidP="00BC78B4">
            <w:pPr>
              <w:rPr>
                <w:b/>
                <w:bCs/>
                <w:sz w:val="18"/>
                <w:szCs w:val="18"/>
              </w:rPr>
            </w:pPr>
            <w:r w:rsidRPr="00374DFA">
              <w:rPr>
                <w:b/>
                <w:bCs/>
                <w:sz w:val="18"/>
                <w:szCs w:val="18"/>
              </w:rPr>
              <w:t>4/4</w:t>
            </w:r>
          </w:p>
        </w:tc>
      </w:tr>
      <w:tr w:rsidR="005721D3" w:rsidRPr="00374DFA" w14:paraId="5CCC79ED" w14:textId="77777777" w:rsidTr="00BC78B4">
        <w:tc>
          <w:tcPr>
            <w:tcW w:w="0" w:type="auto"/>
          </w:tcPr>
          <w:p w14:paraId="277CBF61" w14:textId="467953E4" w:rsidR="00E2539B" w:rsidRPr="00374DFA" w:rsidRDefault="005721D3" w:rsidP="005721D3">
            <w:pPr>
              <w:rPr>
                <w:sz w:val="18"/>
                <w:szCs w:val="18"/>
              </w:rPr>
            </w:pPr>
            <w:r w:rsidRPr="00374DFA">
              <w:rPr>
                <w:sz w:val="18"/>
                <w:szCs w:val="18"/>
              </w:rPr>
              <w:t>Jennifer Flory (chair)</w:t>
            </w:r>
          </w:p>
        </w:tc>
        <w:tc>
          <w:tcPr>
            <w:tcW w:w="0" w:type="auto"/>
          </w:tcPr>
          <w:p w14:paraId="77C6AF99" w14:textId="25C8C11B" w:rsidR="00E2539B" w:rsidRPr="00374DFA" w:rsidRDefault="005721D3" w:rsidP="00BC78B4">
            <w:pPr>
              <w:rPr>
                <w:sz w:val="18"/>
                <w:szCs w:val="18"/>
              </w:rPr>
            </w:pPr>
            <w:r w:rsidRPr="00374DFA">
              <w:rPr>
                <w:sz w:val="18"/>
                <w:szCs w:val="18"/>
              </w:rPr>
              <w:t>P</w:t>
            </w:r>
          </w:p>
        </w:tc>
        <w:tc>
          <w:tcPr>
            <w:tcW w:w="0" w:type="auto"/>
          </w:tcPr>
          <w:p w14:paraId="1C4B65BD" w14:textId="7A3CBA15" w:rsidR="00E2539B" w:rsidRPr="00374DFA" w:rsidRDefault="0058456A" w:rsidP="00BC78B4">
            <w:pPr>
              <w:rPr>
                <w:sz w:val="18"/>
                <w:szCs w:val="18"/>
              </w:rPr>
            </w:pPr>
            <w:r w:rsidRPr="00374DFA">
              <w:rPr>
                <w:sz w:val="18"/>
                <w:szCs w:val="18"/>
              </w:rPr>
              <w:t>P</w:t>
            </w:r>
          </w:p>
        </w:tc>
        <w:tc>
          <w:tcPr>
            <w:tcW w:w="0" w:type="auto"/>
          </w:tcPr>
          <w:p w14:paraId="138ABF88" w14:textId="404B0A18" w:rsidR="00E2539B" w:rsidRPr="00374DFA" w:rsidRDefault="0058456A" w:rsidP="00BC78B4">
            <w:pPr>
              <w:rPr>
                <w:sz w:val="18"/>
                <w:szCs w:val="18"/>
              </w:rPr>
            </w:pPr>
            <w:r w:rsidRPr="00374DFA">
              <w:rPr>
                <w:sz w:val="18"/>
                <w:szCs w:val="18"/>
              </w:rPr>
              <w:t>P</w:t>
            </w:r>
          </w:p>
        </w:tc>
        <w:tc>
          <w:tcPr>
            <w:tcW w:w="0" w:type="auto"/>
          </w:tcPr>
          <w:p w14:paraId="4CE27CE7" w14:textId="4D6E1185" w:rsidR="00E2539B" w:rsidRPr="00374DFA" w:rsidRDefault="0058456A" w:rsidP="00BC78B4">
            <w:pPr>
              <w:rPr>
                <w:sz w:val="18"/>
                <w:szCs w:val="18"/>
              </w:rPr>
            </w:pPr>
            <w:r w:rsidRPr="00374DFA">
              <w:rPr>
                <w:sz w:val="18"/>
                <w:szCs w:val="18"/>
              </w:rPr>
              <w:t>P</w:t>
            </w:r>
          </w:p>
        </w:tc>
        <w:tc>
          <w:tcPr>
            <w:tcW w:w="0" w:type="auto"/>
          </w:tcPr>
          <w:p w14:paraId="27DE821C" w14:textId="4B382C53" w:rsidR="00E2539B" w:rsidRPr="00374DFA" w:rsidRDefault="0058456A" w:rsidP="00BC78B4">
            <w:pPr>
              <w:rPr>
                <w:sz w:val="18"/>
                <w:szCs w:val="18"/>
              </w:rPr>
            </w:pPr>
            <w:r w:rsidRPr="00374DFA">
              <w:rPr>
                <w:sz w:val="18"/>
                <w:szCs w:val="18"/>
              </w:rPr>
              <w:t>P</w:t>
            </w:r>
          </w:p>
        </w:tc>
        <w:tc>
          <w:tcPr>
            <w:tcW w:w="0" w:type="auto"/>
          </w:tcPr>
          <w:p w14:paraId="1E323DFF" w14:textId="7B545DD2" w:rsidR="00E2539B" w:rsidRPr="00374DFA" w:rsidRDefault="0058456A" w:rsidP="00BC78B4">
            <w:pPr>
              <w:rPr>
                <w:sz w:val="18"/>
                <w:szCs w:val="18"/>
              </w:rPr>
            </w:pPr>
            <w:r w:rsidRPr="00374DFA">
              <w:rPr>
                <w:sz w:val="18"/>
                <w:szCs w:val="18"/>
              </w:rPr>
              <w:t>P</w:t>
            </w:r>
          </w:p>
        </w:tc>
        <w:tc>
          <w:tcPr>
            <w:tcW w:w="0" w:type="auto"/>
          </w:tcPr>
          <w:p w14:paraId="0881209A" w14:textId="32618D60" w:rsidR="00E2539B" w:rsidRPr="00374DFA" w:rsidRDefault="00374DFA" w:rsidP="00BC78B4">
            <w:pPr>
              <w:rPr>
                <w:sz w:val="18"/>
                <w:szCs w:val="18"/>
              </w:rPr>
            </w:pPr>
            <w:r w:rsidRPr="00374DFA">
              <w:rPr>
                <w:sz w:val="18"/>
                <w:szCs w:val="18"/>
              </w:rPr>
              <w:t>P</w:t>
            </w:r>
          </w:p>
        </w:tc>
      </w:tr>
      <w:tr w:rsidR="005721D3" w:rsidRPr="00374DFA" w14:paraId="030B3DFE" w14:textId="77777777" w:rsidTr="00BC78B4">
        <w:tc>
          <w:tcPr>
            <w:tcW w:w="0" w:type="auto"/>
          </w:tcPr>
          <w:p w14:paraId="2B6E6BF7" w14:textId="33BCD755" w:rsidR="00E2539B" w:rsidRPr="00374DFA" w:rsidRDefault="005721D3" w:rsidP="005721D3">
            <w:pPr>
              <w:rPr>
                <w:sz w:val="18"/>
                <w:szCs w:val="18"/>
              </w:rPr>
            </w:pPr>
            <w:r w:rsidRPr="00374DFA">
              <w:rPr>
                <w:sz w:val="18"/>
                <w:szCs w:val="18"/>
              </w:rPr>
              <w:t>Amy Sumpter (vice-chair)</w:t>
            </w:r>
          </w:p>
        </w:tc>
        <w:tc>
          <w:tcPr>
            <w:tcW w:w="0" w:type="auto"/>
          </w:tcPr>
          <w:p w14:paraId="4630A7AA" w14:textId="21A4F4B7" w:rsidR="00E2539B" w:rsidRPr="00374DFA" w:rsidRDefault="005721D3" w:rsidP="00BC78B4">
            <w:pPr>
              <w:rPr>
                <w:sz w:val="18"/>
                <w:szCs w:val="18"/>
              </w:rPr>
            </w:pPr>
            <w:r w:rsidRPr="00374DFA">
              <w:rPr>
                <w:sz w:val="18"/>
                <w:szCs w:val="18"/>
              </w:rPr>
              <w:t>P</w:t>
            </w:r>
          </w:p>
        </w:tc>
        <w:tc>
          <w:tcPr>
            <w:tcW w:w="0" w:type="auto"/>
          </w:tcPr>
          <w:p w14:paraId="539D02CB" w14:textId="06BBAE05" w:rsidR="00E2539B" w:rsidRPr="00374DFA" w:rsidRDefault="0058456A" w:rsidP="00BC78B4">
            <w:pPr>
              <w:rPr>
                <w:sz w:val="18"/>
                <w:szCs w:val="18"/>
              </w:rPr>
            </w:pPr>
            <w:r w:rsidRPr="00374DFA">
              <w:rPr>
                <w:sz w:val="18"/>
                <w:szCs w:val="18"/>
              </w:rPr>
              <w:t>P</w:t>
            </w:r>
          </w:p>
        </w:tc>
        <w:tc>
          <w:tcPr>
            <w:tcW w:w="0" w:type="auto"/>
          </w:tcPr>
          <w:p w14:paraId="4980FE03" w14:textId="19CF0D24" w:rsidR="00E2539B" w:rsidRPr="00374DFA" w:rsidRDefault="0058456A" w:rsidP="00BC78B4">
            <w:pPr>
              <w:rPr>
                <w:sz w:val="18"/>
                <w:szCs w:val="18"/>
              </w:rPr>
            </w:pPr>
            <w:r w:rsidRPr="00374DFA">
              <w:rPr>
                <w:sz w:val="18"/>
                <w:szCs w:val="18"/>
              </w:rPr>
              <w:t>P</w:t>
            </w:r>
          </w:p>
        </w:tc>
        <w:tc>
          <w:tcPr>
            <w:tcW w:w="0" w:type="auto"/>
          </w:tcPr>
          <w:p w14:paraId="749D91E1" w14:textId="12A2F3A9" w:rsidR="00E2539B" w:rsidRPr="00374DFA" w:rsidRDefault="0058456A" w:rsidP="00BC78B4">
            <w:pPr>
              <w:rPr>
                <w:sz w:val="18"/>
                <w:szCs w:val="18"/>
              </w:rPr>
            </w:pPr>
            <w:r w:rsidRPr="00374DFA">
              <w:rPr>
                <w:sz w:val="18"/>
                <w:szCs w:val="18"/>
              </w:rPr>
              <w:t>P</w:t>
            </w:r>
          </w:p>
        </w:tc>
        <w:tc>
          <w:tcPr>
            <w:tcW w:w="0" w:type="auto"/>
          </w:tcPr>
          <w:p w14:paraId="5BF247F1" w14:textId="4509374E" w:rsidR="00E2539B" w:rsidRPr="00374DFA" w:rsidRDefault="0058456A" w:rsidP="00BC78B4">
            <w:pPr>
              <w:rPr>
                <w:sz w:val="18"/>
                <w:szCs w:val="18"/>
              </w:rPr>
            </w:pPr>
            <w:r w:rsidRPr="00374DFA">
              <w:rPr>
                <w:sz w:val="18"/>
                <w:szCs w:val="18"/>
              </w:rPr>
              <w:t>P</w:t>
            </w:r>
          </w:p>
        </w:tc>
        <w:tc>
          <w:tcPr>
            <w:tcW w:w="0" w:type="auto"/>
          </w:tcPr>
          <w:p w14:paraId="78BED545" w14:textId="6EA02F22" w:rsidR="00E2539B" w:rsidRPr="00374DFA" w:rsidRDefault="0058456A" w:rsidP="00BC78B4">
            <w:pPr>
              <w:rPr>
                <w:sz w:val="18"/>
                <w:szCs w:val="18"/>
              </w:rPr>
            </w:pPr>
            <w:r w:rsidRPr="00374DFA">
              <w:rPr>
                <w:sz w:val="18"/>
                <w:szCs w:val="18"/>
              </w:rPr>
              <w:t>R</w:t>
            </w:r>
          </w:p>
        </w:tc>
        <w:tc>
          <w:tcPr>
            <w:tcW w:w="0" w:type="auto"/>
          </w:tcPr>
          <w:p w14:paraId="4C08A769" w14:textId="63797171" w:rsidR="00E2539B" w:rsidRPr="00374DFA" w:rsidRDefault="00374DFA" w:rsidP="00BC78B4">
            <w:pPr>
              <w:rPr>
                <w:sz w:val="18"/>
                <w:szCs w:val="18"/>
              </w:rPr>
            </w:pPr>
            <w:r w:rsidRPr="00374DFA">
              <w:rPr>
                <w:sz w:val="18"/>
                <w:szCs w:val="18"/>
              </w:rPr>
              <w:t>P</w:t>
            </w:r>
          </w:p>
        </w:tc>
      </w:tr>
      <w:tr w:rsidR="005721D3" w:rsidRPr="00374DFA" w14:paraId="7C912C1F" w14:textId="77777777" w:rsidTr="00BC78B4">
        <w:tc>
          <w:tcPr>
            <w:tcW w:w="0" w:type="auto"/>
          </w:tcPr>
          <w:p w14:paraId="6155DA64" w14:textId="5DC11305" w:rsidR="00E2539B" w:rsidRPr="00374DFA" w:rsidRDefault="005721D3" w:rsidP="005721D3">
            <w:pPr>
              <w:rPr>
                <w:sz w:val="18"/>
                <w:szCs w:val="18"/>
              </w:rPr>
            </w:pPr>
            <w:r w:rsidRPr="00374DFA">
              <w:rPr>
                <w:sz w:val="18"/>
                <w:szCs w:val="18"/>
              </w:rPr>
              <w:t>Benjamin "Chad" Whittle (secretary)</w:t>
            </w:r>
          </w:p>
        </w:tc>
        <w:tc>
          <w:tcPr>
            <w:tcW w:w="0" w:type="auto"/>
          </w:tcPr>
          <w:p w14:paraId="35A8131C" w14:textId="504CC408" w:rsidR="00E2539B" w:rsidRPr="00374DFA" w:rsidRDefault="005721D3" w:rsidP="00BC78B4">
            <w:pPr>
              <w:rPr>
                <w:sz w:val="18"/>
                <w:szCs w:val="18"/>
              </w:rPr>
            </w:pPr>
            <w:r w:rsidRPr="00374DFA">
              <w:rPr>
                <w:sz w:val="18"/>
                <w:szCs w:val="18"/>
              </w:rPr>
              <w:t>P</w:t>
            </w:r>
          </w:p>
        </w:tc>
        <w:tc>
          <w:tcPr>
            <w:tcW w:w="0" w:type="auto"/>
          </w:tcPr>
          <w:p w14:paraId="0BF1EF6B" w14:textId="690FA8FE" w:rsidR="00E2539B" w:rsidRPr="00374DFA" w:rsidRDefault="0058456A" w:rsidP="00BC78B4">
            <w:pPr>
              <w:rPr>
                <w:sz w:val="18"/>
                <w:szCs w:val="18"/>
              </w:rPr>
            </w:pPr>
            <w:r w:rsidRPr="00374DFA">
              <w:rPr>
                <w:sz w:val="18"/>
                <w:szCs w:val="18"/>
              </w:rPr>
              <w:t>P</w:t>
            </w:r>
          </w:p>
        </w:tc>
        <w:tc>
          <w:tcPr>
            <w:tcW w:w="0" w:type="auto"/>
          </w:tcPr>
          <w:p w14:paraId="5B7A91F8" w14:textId="3737F06D" w:rsidR="00E2539B" w:rsidRPr="00374DFA" w:rsidRDefault="0058456A" w:rsidP="00BC78B4">
            <w:pPr>
              <w:rPr>
                <w:sz w:val="18"/>
                <w:szCs w:val="18"/>
              </w:rPr>
            </w:pPr>
            <w:r w:rsidRPr="00374DFA">
              <w:rPr>
                <w:sz w:val="18"/>
                <w:szCs w:val="18"/>
              </w:rPr>
              <w:t>P</w:t>
            </w:r>
          </w:p>
        </w:tc>
        <w:tc>
          <w:tcPr>
            <w:tcW w:w="0" w:type="auto"/>
          </w:tcPr>
          <w:p w14:paraId="083EB67B" w14:textId="106A53CB" w:rsidR="00E2539B" w:rsidRPr="00374DFA" w:rsidRDefault="0058456A" w:rsidP="00BC78B4">
            <w:pPr>
              <w:rPr>
                <w:sz w:val="18"/>
                <w:szCs w:val="18"/>
              </w:rPr>
            </w:pPr>
            <w:r w:rsidRPr="00374DFA">
              <w:rPr>
                <w:sz w:val="18"/>
                <w:szCs w:val="18"/>
              </w:rPr>
              <w:t>P</w:t>
            </w:r>
          </w:p>
        </w:tc>
        <w:tc>
          <w:tcPr>
            <w:tcW w:w="0" w:type="auto"/>
          </w:tcPr>
          <w:p w14:paraId="68EB48EC" w14:textId="7FF6A1D1" w:rsidR="00E2539B" w:rsidRPr="00374DFA" w:rsidRDefault="0058456A" w:rsidP="00BC78B4">
            <w:pPr>
              <w:rPr>
                <w:sz w:val="18"/>
                <w:szCs w:val="18"/>
              </w:rPr>
            </w:pPr>
            <w:r w:rsidRPr="00374DFA">
              <w:rPr>
                <w:sz w:val="18"/>
                <w:szCs w:val="18"/>
              </w:rPr>
              <w:t>P</w:t>
            </w:r>
          </w:p>
        </w:tc>
        <w:tc>
          <w:tcPr>
            <w:tcW w:w="0" w:type="auto"/>
          </w:tcPr>
          <w:p w14:paraId="25598770" w14:textId="123D1048" w:rsidR="00E2539B" w:rsidRPr="00374DFA" w:rsidRDefault="0058456A" w:rsidP="00BC78B4">
            <w:pPr>
              <w:rPr>
                <w:sz w:val="18"/>
                <w:szCs w:val="18"/>
              </w:rPr>
            </w:pPr>
            <w:r w:rsidRPr="00374DFA">
              <w:rPr>
                <w:sz w:val="18"/>
                <w:szCs w:val="18"/>
              </w:rPr>
              <w:t>P</w:t>
            </w:r>
          </w:p>
        </w:tc>
        <w:tc>
          <w:tcPr>
            <w:tcW w:w="0" w:type="auto"/>
          </w:tcPr>
          <w:p w14:paraId="76AD9745" w14:textId="4501E686" w:rsidR="00E2539B" w:rsidRPr="00374DFA" w:rsidRDefault="00374DFA" w:rsidP="00BC78B4">
            <w:pPr>
              <w:rPr>
                <w:sz w:val="18"/>
                <w:szCs w:val="18"/>
              </w:rPr>
            </w:pPr>
            <w:r w:rsidRPr="00374DFA">
              <w:rPr>
                <w:sz w:val="18"/>
                <w:szCs w:val="18"/>
              </w:rPr>
              <w:t>R</w:t>
            </w:r>
          </w:p>
        </w:tc>
      </w:tr>
      <w:tr w:rsidR="005721D3" w:rsidRPr="00374DFA" w14:paraId="5E318C82" w14:textId="77777777" w:rsidTr="00BC78B4">
        <w:tc>
          <w:tcPr>
            <w:tcW w:w="0" w:type="auto"/>
          </w:tcPr>
          <w:p w14:paraId="68569D6A" w14:textId="57ABB730" w:rsidR="00E2539B" w:rsidRPr="00374DFA" w:rsidRDefault="005721D3" w:rsidP="005721D3">
            <w:pPr>
              <w:rPr>
                <w:sz w:val="18"/>
                <w:szCs w:val="18"/>
              </w:rPr>
            </w:pPr>
            <w:r w:rsidRPr="00374DFA">
              <w:rPr>
                <w:sz w:val="18"/>
                <w:szCs w:val="18"/>
              </w:rPr>
              <w:t>Christopher Clark</w:t>
            </w:r>
          </w:p>
        </w:tc>
        <w:tc>
          <w:tcPr>
            <w:tcW w:w="0" w:type="auto"/>
          </w:tcPr>
          <w:p w14:paraId="5DE1EAF6" w14:textId="2C093F8C" w:rsidR="00E2539B" w:rsidRPr="00374DFA" w:rsidRDefault="005721D3" w:rsidP="00BC78B4">
            <w:pPr>
              <w:rPr>
                <w:sz w:val="18"/>
                <w:szCs w:val="18"/>
              </w:rPr>
            </w:pPr>
            <w:r w:rsidRPr="00374DFA">
              <w:rPr>
                <w:sz w:val="18"/>
                <w:szCs w:val="18"/>
              </w:rPr>
              <w:t>P</w:t>
            </w:r>
          </w:p>
        </w:tc>
        <w:tc>
          <w:tcPr>
            <w:tcW w:w="0" w:type="auto"/>
          </w:tcPr>
          <w:p w14:paraId="3EFFB815" w14:textId="18D2F470" w:rsidR="00E2539B" w:rsidRPr="00374DFA" w:rsidRDefault="0058456A" w:rsidP="00BC78B4">
            <w:pPr>
              <w:rPr>
                <w:sz w:val="18"/>
                <w:szCs w:val="18"/>
              </w:rPr>
            </w:pPr>
            <w:r w:rsidRPr="00374DFA">
              <w:rPr>
                <w:sz w:val="18"/>
                <w:szCs w:val="18"/>
              </w:rPr>
              <w:t>P</w:t>
            </w:r>
          </w:p>
        </w:tc>
        <w:tc>
          <w:tcPr>
            <w:tcW w:w="0" w:type="auto"/>
          </w:tcPr>
          <w:p w14:paraId="7345D9DD" w14:textId="780F50F9" w:rsidR="00E2539B" w:rsidRPr="00374DFA" w:rsidRDefault="0058456A" w:rsidP="00BC78B4">
            <w:pPr>
              <w:rPr>
                <w:sz w:val="18"/>
                <w:szCs w:val="18"/>
              </w:rPr>
            </w:pPr>
            <w:r w:rsidRPr="00374DFA">
              <w:rPr>
                <w:sz w:val="18"/>
                <w:szCs w:val="18"/>
              </w:rPr>
              <w:t>P</w:t>
            </w:r>
          </w:p>
        </w:tc>
        <w:tc>
          <w:tcPr>
            <w:tcW w:w="0" w:type="auto"/>
          </w:tcPr>
          <w:p w14:paraId="59C3E420" w14:textId="5A1D4B77" w:rsidR="00E2539B" w:rsidRPr="00374DFA" w:rsidRDefault="0058456A" w:rsidP="00BC78B4">
            <w:pPr>
              <w:rPr>
                <w:sz w:val="18"/>
                <w:szCs w:val="18"/>
              </w:rPr>
            </w:pPr>
            <w:r w:rsidRPr="00374DFA">
              <w:rPr>
                <w:sz w:val="18"/>
                <w:szCs w:val="18"/>
              </w:rPr>
              <w:t>P</w:t>
            </w:r>
          </w:p>
        </w:tc>
        <w:tc>
          <w:tcPr>
            <w:tcW w:w="0" w:type="auto"/>
          </w:tcPr>
          <w:p w14:paraId="4B138EBE" w14:textId="7BAEFFA5" w:rsidR="00E2539B" w:rsidRPr="00374DFA" w:rsidRDefault="0058456A" w:rsidP="00BC78B4">
            <w:pPr>
              <w:rPr>
                <w:sz w:val="18"/>
                <w:szCs w:val="18"/>
              </w:rPr>
            </w:pPr>
            <w:r w:rsidRPr="00374DFA">
              <w:rPr>
                <w:sz w:val="18"/>
                <w:szCs w:val="18"/>
              </w:rPr>
              <w:t>R</w:t>
            </w:r>
          </w:p>
        </w:tc>
        <w:tc>
          <w:tcPr>
            <w:tcW w:w="0" w:type="auto"/>
          </w:tcPr>
          <w:p w14:paraId="4857F72C" w14:textId="4BA66768" w:rsidR="00E2539B" w:rsidRPr="00374DFA" w:rsidRDefault="0058456A" w:rsidP="00BC78B4">
            <w:pPr>
              <w:rPr>
                <w:sz w:val="18"/>
                <w:szCs w:val="18"/>
              </w:rPr>
            </w:pPr>
            <w:r w:rsidRPr="00374DFA">
              <w:rPr>
                <w:sz w:val="18"/>
                <w:szCs w:val="18"/>
              </w:rPr>
              <w:t>P</w:t>
            </w:r>
          </w:p>
        </w:tc>
        <w:tc>
          <w:tcPr>
            <w:tcW w:w="0" w:type="auto"/>
          </w:tcPr>
          <w:p w14:paraId="71B23F41" w14:textId="74F580C9" w:rsidR="00E2539B" w:rsidRPr="00374DFA" w:rsidRDefault="00374DFA" w:rsidP="00BC78B4">
            <w:pPr>
              <w:rPr>
                <w:sz w:val="18"/>
                <w:szCs w:val="18"/>
              </w:rPr>
            </w:pPr>
            <w:r w:rsidRPr="00374DFA">
              <w:rPr>
                <w:sz w:val="18"/>
                <w:szCs w:val="18"/>
              </w:rPr>
              <w:t>P</w:t>
            </w:r>
          </w:p>
        </w:tc>
      </w:tr>
      <w:tr w:rsidR="005721D3" w:rsidRPr="00374DFA" w14:paraId="3CE65DC3" w14:textId="77777777" w:rsidTr="00BC78B4">
        <w:tc>
          <w:tcPr>
            <w:tcW w:w="0" w:type="auto"/>
          </w:tcPr>
          <w:p w14:paraId="2DE846A5" w14:textId="1AB558F0" w:rsidR="00E2539B" w:rsidRPr="00374DFA" w:rsidRDefault="005721D3" w:rsidP="005721D3">
            <w:pPr>
              <w:rPr>
                <w:sz w:val="18"/>
                <w:szCs w:val="18"/>
              </w:rPr>
            </w:pPr>
            <w:r w:rsidRPr="00374DFA">
              <w:rPr>
                <w:sz w:val="18"/>
                <w:szCs w:val="18"/>
              </w:rPr>
              <w:t>Helen DuPree</w:t>
            </w:r>
          </w:p>
        </w:tc>
        <w:tc>
          <w:tcPr>
            <w:tcW w:w="0" w:type="auto"/>
          </w:tcPr>
          <w:p w14:paraId="42EB059A" w14:textId="79D7B320" w:rsidR="00E2539B" w:rsidRPr="00374DFA" w:rsidRDefault="005721D3" w:rsidP="00BC78B4">
            <w:pPr>
              <w:rPr>
                <w:sz w:val="18"/>
                <w:szCs w:val="18"/>
              </w:rPr>
            </w:pPr>
            <w:r w:rsidRPr="00374DFA">
              <w:rPr>
                <w:sz w:val="18"/>
                <w:szCs w:val="18"/>
              </w:rPr>
              <w:t>P</w:t>
            </w:r>
          </w:p>
        </w:tc>
        <w:tc>
          <w:tcPr>
            <w:tcW w:w="0" w:type="auto"/>
          </w:tcPr>
          <w:p w14:paraId="4D42C0BB" w14:textId="6FF83032" w:rsidR="00E2539B" w:rsidRPr="00374DFA" w:rsidRDefault="0058456A" w:rsidP="00BC78B4">
            <w:pPr>
              <w:rPr>
                <w:sz w:val="18"/>
                <w:szCs w:val="18"/>
              </w:rPr>
            </w:pPr>
            <w:r w:rsidRPr="00374DFA">
              <w:rPr>
                <w:sz w:val="18"/>
                <w:szCs w:val="18"/>
              </w:rPr>
              <w:t>R</w:t>
            </w:r>
          </w:p>
        </w:tc>
        <w:tc>
          <w:tcPr>
            <w:tcW w:w="0" w:type="auto"/>
          </w:tcPr>
          <w:p w14:paraId="14E8B355" w14:textId="7EA25651" w:rsidR="00E2539B" w:rsidRPr="00374DFA" w:rsidRDefault="0058456A" w:rsidP="00BC78B4">
            <w:pPr>
              <w:rPr>
                <w:sz w:val="18"/>
                <w:szCs w:val="18"/>
              </w:rPr>
            </w:pPr>
            <w:r w:rsidRPr="00374DFA">
              <w:rPr>
                <w:sz w:val="18"/>
                <w:szCs w:val="18"/>
              </w:rPr>
              <w:t>P</w:t>
            </w:r>
          </w:p>
        </w:tc>
        <w:tc>
          <w:tcPr>
            <w:tcW w:w="0" w:type="auto"/>
          </w:tcPr>
          <w:p w14:paraId="3E347ED9" w14:textId="30E50154" w:rsidR="00E2539B" w:rsidRPr="00374DFA" w:rsidRDefault="0058456A" w:rsidP="00BC78B4">
            <w:pPr>
              <w:rPr>
                <w:sz w:val="18"/>
                <w:szCs w:val="18"/>
              </w:rPr>
            </w:pPr>
            <w:r w:rsidRPr="00374DFA">
              <w:rPr>
                <w:sz w:val="18"/>
                <w:szCs w:val="18"/>
              </w:rPr>
              <w:t>P</w:t>
            </w:r>
          </w:p>
        </w:tc>
        <w:tc>
          <w:tcPr>
            <w:tcW w:w="0" w:type="auto"/>
          </w:tcPr>
          <w:p w14:paraId="7EF322CB" w14:textId="03925235" w:rsidR="00E2539B" w:rsidRPr="00374DFA" w:rsidRDefault="0058456A" w:rsidP="00BC78B4">
            <w:pPr>
              <w:rPr>
                <w:sz w:val="18"/>
                <w:szCs w:val="18"/>
              </w:rPr>
            </w:pPr>
            <w:r w:rsidRPr="00374DFA">
              <w:rPr>
                <w:sz w:val="18"/>
                <w:szCs w:val="18"/>
              </w:rPr>
              <w:t>P</w:t>
            </w:r>
          </w:p>
        </w:tc>
        <w:tc>
          <w:tcPr>
            <w:tcW w:w="0" w:type="auto"/>
          </w:tcPr>
          <w:p w14:paraId="508ACF64" w14:textId="49D9E509" w:rsidR="00E2539B" w:rsidRPr="00374DFA" w:rsidRDefault="0058456A" w:rsidP="00BC78B4">
            <w:pPr>
              <w:rPr>
                <w:sz w:val="18"/>
                <w:szCs w:val="18"/>
              </w:rPr>
            </w:pPr>
            <w:r w:rsidRPr="00374DFA">
              <w:rPr>
                <w:sz w:val="18"/>
                <w:szCs w:val="18"/>
              </w:rPr>
              <w:t>P</w:t>
            </w:r>
          </w:p>
        </w:tc>
        <w:tc>
          <w:tcPr>
            <w:tcW w:w="0" w:type="auto"/>
          </w:tcPr>
          <w:p w14:paraId="7842FCBA" w14:textId="095AA49F" w:rsidR="00E2539B" w:rsidRPr="00374DFA" w:rsidRDefault="00374DFA" w:rsidP="00BC78B4">
            <w:pPr>
              <w:rPr>
                <w:sz w:val="18"/>
                <w:szCs w:val="18"/>
              </w:rPr>
            </w:pPr>
            <w:r w:rsidRPr="00374DFA">
              <w:rPr>
                <w:sz w:val="18"/>
                <w:szCs w:val="18"/>
              </w:rPr>
              <w:t>P</w:t>
            </w:r>
          </w:p>
        </w:tc>
      </w:tr>
      <w:tr w:rsidR="005721D3" w:rsidRPr="00374DFA" w14:paraId="41E8548F" w14:textId="77777777" w:rsidTr="00BC78B4">
        <w:tc>
          <w:tcPr>
            <w:tcW w:w="0" w:type="auto"/>
          </w:tcPr>
          <w:p w14:paraId="6CA7D4C8" w14:textId="34A2A243" w:rsidR="00E2539B" w:rsidRPr="00374DFA" w:rsidRDefault="005721D3" w:rsidP="005721D3">
            <w:pPr>
              <w:rPr>
                <w:sz w:val="18"/>
                <w:szCs w:val="18"/>
              </w:rPr>
            </w:pPr>
            <w:r w:rsidRPr="00374DFA">
              <w:rPr>
                <w:sz w:val="18"/>
                <w:szCs w:val="18"/>
              </w:rPr>
              <w:t>Sabrina Hom</w:t>
            </w:r>
          </w:p>
        </w:tc>
        <w:tc>
          <w:tcPr>
            <w:tcW w:w="0" w:type="auto"/>
          </w:tcPr>
          <w:p w14:paraId="7D9AFFC7" w14:textId="62FFC796" w:rsidR="00E2539B" w:rsidRPr="00374DFA" w:rsidRDefault="005721D3" w:rsidP="00BC78B4">
            <w:pPr>
              <w:rPr>
                <w:sz w:val="18"/>
                <w:szCs w:val="18"/>
              </w:rPr>
            </w:pPr>
            <w:r w:rsidRPr="00374DFA">
              <w:rPr>
                <w:sz w:val="18"/>
                <w:szCs w:val="18"/>
              </w:rPr>
              <w:t>P</w:t>
            </w:r>
          </w:p>
        </w:tc>
        <w:tc>
          <w:tcPr>
            <w:tcW w:w="0" w:type="auto"/>
          </w:tcPr>
          <w:p w14:paraId="3E5370B3" w14:textId="1F5DE142" w:rsidR="00E2539B" w:rsidRPr="00374DFA" w:rsidRDefault="0058456A" w:rsidP="00BC78B4">
            <w:pPr>
              <w:rPr>
                <w:sz w:val="18"/>
                <w:szCs w:val="18"/>
              </w:rPr>
            </w:pPr>
            <w:r w:rsidRPr="00374DFA">
              <w:rPr>
                <w:sz w:val="18"/>
                <w:szCs w:val="18"/>
              </w:rPr>
              <w:t>P</w:t>
            </w:r>
          </w:p>
        </w:tc>
        <w:tc>
          <w:tcPr>
            <w:tcW w:w="0" w:type="auto"/>
          </w:tcPr>
          <w:p w14:paraId="2217632A" w14:textId="34D656FD" w:rsidR="00E2539B" w:rsidRPr="00374DFA" w:rsidRDefault="0058456A" w:rsidP="00BC78B4">
            <w:pPr>
              <w:rPr>
                <w:sz w:val="18"/>
                <w:szCs w:val="18"/>
              </w:rPr>
            </w:pPr>
            <w:r w:rsidRPr="00374DFA">
              <w:rPr>
                <w:sz w:val="18"/>
                <w:szCs w:val="18"/>
              </w:rPr>
              <w:t>P</w:t>
            </w:r>
          </w:p>
        </w:tc>
        <w:tc>
          <w:tcPr>
            <w:tcW w:w="0" w:type="auto"/>
          </w:tcPr>
          <w:p w14:paraId="7643F774" w14:textId="5C70B8F9" w:rsidR="00E2539B" w:rsidRPr="00374DFA" w:rsidRDefault="0058456A" w:rsidP="00BC78B4">
            <w:pPr>
              <w:rPr>
                <w:sz w:val="18"/>
                <w:szCs w:val="18"/>
              </w:rPr>
            </w:pPr>
            <w:r w:rsidRPr="00374DFA">
              <w:rPr>
                <w:sz w:val="18"/>
                <w:szCs w:val="18"/>
              </w:rPr>
              <w:t>P</w:t>
            </w:r>
          </w:p>
        </w:tc>
        <w:tc>
          <w:tcPr>
            <w:tcW w:w="0" w:type="auto"/>
          </w:tcPr>
          <w:p w14:paraId="28791BFF" w14:textId="1F687912" w:rsidR="00E2539B" w:rsidRPr="00374DFA" w:rsidRDefault="0058456A" w:rsidP="00BC78B4">
            <w:pPr>
              <w:rPr>
                <w:sz w:val="18"/>
                <w:szCs w:val="18"/>
              </w:rPr>
            </w:pPr>
            <w:r w:rsidRPr="00374DFA">
              <w:rPr>
                <w:sz w:val="18"/>
                <w:szCs w:val="18"/>
              </w:rPr>
              <w:t>P</w:t>
            </w:r>
          </w:p>
        </w:tc>
        <w:tc>
          <w:tcPr>
            <w:tcW w:w="0" w:type="auto"/>
          </w:tcPr>
          <w:p w14:paraId="4933CD0B" w14:textId="47346575" w:rsidR="00E2539B" w:rsidRPr="00374DFA" w:rsidRDefault="0058456A" w:rsidP="00BC78B4">
            <w:pPr>
              <w:rPr>
                <w:sz w:val="18"/>
                <w:szCs w:val="18"/>
              </w:rPr>
            </w:pPr>
            <w:r w:rsidRPr="00374DFA">
              <w:rPr>
                <w:sz w:val="18"/>
                <w:szCs w:val="18"/>
              </w:rPr>
              <w:t>P</w:t>
            </w:r>
          </w:p>
        </w:tc>
        <w:tc>
          <w:tcPr>
            <w:tcW w:w="0" w:type="auto"/>
          </w:tcPr>
          <w:p w14:paraId="634DFCCE" w14:textId="756A1624" w:rsidR="00E2539B" w:rsidRPr="00374DFA" w:rsidRDefault="00374DFA" w:rsidP="00BC78B4">
            <w:pPr>
              <w:rPr>
                <w:sz w:val="18"/>
                <w:szCs w:val="18"/>
              </w:rPr>
            </w:pPr>
            <w:r w:rsidRPr="00374DFA">
              <w:rPr>
                <w:sz w:val="18"/>
                <w:szCs w:val="18"/>
              </w:rPr>
              <w:t>P</w:t>
            </w:r>
          </w:p>
        </w:tc>
      </w:tr>
      <w:tr w:rsidR="005721D3" w:rsidRPr="00374DFA" w14:paraId="771CE271" w14:textId="77777777" w:rsidTr="00BC78B4">
        <w:tc>
          <w:tcPr>
            <w:tcW w:w="0" w:type="auto"/>
          </w:tcPr>
          <w:p w14:paraId="7F115C7D" w14:textId="008CD76B" w:rsidR="00E2539B" w:rsidRPr="00374DFA" w:rsidRDefault="005721D3" w:rsidP="005721D3">
            <w:pPr>
              <w:rPr>
                <w:sz w:val="18"/>
                <w:szCs w:val="18"/>
              </w:rPr>
            </w:pPr>
            <w:r w:rsidRPr="00374DFA">
              <w:rPr>
                <w:sz w:val="18"/>
                <w:szCs w:val="18"/>
              </w:rPr>
              <w:t>Frank A. Richardson</w:t>
            </w:r>
          </w:p>
        </w:tc>
        <w:tc>
          <w:tcPr>
            <w:tcW w:w="0" w:type="auto"/>
          </w:tcPr>
          <w:p w14:paraId="5816346D" w14:textId="38736EF0" w:rsidR="00E2539B" w:rsidRPr="00374DFA" w:rsidRDefault="0058456A" w:rsidP="00BC78B4">
            <w:pPr>
              <w:rPr>
                <w:sz w:val="18"/>
                <w:szCs w:val="18"/>
              </w:rPr>
            </w:pPr>
            <w:r w:rsidRPr="00374DFA">
              <w:rPr>
                <w:sz w:val="18"/>
                <w:szCs w:val="18"/>
              </w:rPr>
              <w:t>A</w:t>
            </w:r>
          </w:p>
        </w:tc>
        <w:tc>
          <w:tcPr>
            <w:tcW w:w="0" w:type="auto"/>
          </w:tcPr>
          <w:p w14:paraId="66E60DBD" w14:textId="379E429B" w:rsidR="00E2539B" w:rsidRPr="00374DFA" w:rsidRDefault="0058456A" w:rsidP="00BC78B4">
            <w:pPr>
              <w:rPr>
                <w:sz w:val="18"/>
                <w:szCs w:val="18"/>
              </w:rPr>
            </w:pPr>
            <w:r w:rsidRPr="00374DFA">
              <w:rPr>
                <w:sz w:val="18"/>
                <w:szCs w:val="18"/>
              </w:rPr>
              <w:t>R</w:t>
            </w:r>
          </w:p>
        </w:tc>
        <w:tc>
          <w:tcPr>
            <w:tcW w:w="0" w:type="auto"/>
          </w:tcPr>
          <w:p w14:paraId="22AA0B31" w14:textId="1DD4019A" w:rsidR="00E2539B" w:rsidRPr="00374DFA" w:rsidRDefault="0058456A" w:rsidP="00BC78B4">
            <w:pPr>
              <w:rPr>
                <w:sz w:val="18"/>
                <w:szCs w:val="18"/>
              </w:rPr>
            </w:pPr>
            <w:r w:rsidRPr="00374DFA">
              <w:rPr>
                <w:sz w:val="18"/>
                <w:szCs w:val="18"/>
              </w:rPr>
              <w:t>P</w:t>
            </w:r>
          </w:p>
        </w:tc>
        <w:tc>
          <w:tcPr>
            <w:tcW w:w="0" w:type="auto"/>
          </w:tcPr>
          <w:p w14:paraId="707C101E" w14:textId="6B7510E8" w:rsidR="00E2539B" w:rsidRPr="00374DFA" w:rsidRDefault="0058456A" w:rsidP="00BC78B4">
            <w:pPr>
              <w:rPr>
                <w:sz w:val="18"/>
                <w:szCs w:val="18"/>
              </w:rPr>
            </w:pPr>
            <w:r w:rsidRPr="00374DFA">
              <w:rPr>
                <w:sz w:val="18"/>
                <w:szCs w:val="18"/>
              </w:rPr>
              <w:t>A</w:t>
            </w:r>
          </w:p>
        </w:tc>
        <w:tc>
          <w:tcPr>
            <w:tcW w:w="0" w:type="auto"/>
          </w:tcPr>
          <w:p w14:paraId="62834D60" w14:textId="05F97BC3" w:rsidR="00E2539B" w:rsidRPr="00374DFA" w:rsidRDefault="0058456A" w:rsidP="00BC78B4">
            <w:pPr>
              <w:rPr>
                <w:sz w:val="18"/>
                <w:szCs w:val="18"/>
              </w:rPr>
            </w:pPr>
            <w:r w:rsidRPr="00374DFA">
              <w:rPr>
                <w:sz w:val="18"/>
                <w:szCs w:val="18"/>
              </w:rPr>
              <w:t>A</w:t>
            </w:r>
          </w:p>
        </w:tc>
        <w:tc>
          <w:tcPr>
            <w:tcW w:w="0" w:type="auto"/>
          </w:tcPr>
          <w:p w14:paraId="623C4D17" w14:textId="40251584" w:rsidR="00E2539B" w:rsidRPr="00374DFA" w:rsidRDefault="0058456A" w:rsidP="00BC78B4">
            <w:pPr>
              <w:rPr>
                <w:sz w:val="18"/>
                <w:szCs w:val="18"/>
              </w:rPr>
            </w:pPr>
            <w:r w:rsidRPr="00374DFA">
              <w:rPr>
                <w:sz w:val="18"/>
                <w:szCs w:val="18"/>
              </w:rPr>
              <w:t>A</w:t>
            </w:r>
          </w:p>
        </w:tc>
        <w:tc>
          <w:tcPr>
            <w:tcW w:w="0" w:type="auto"/>
          </w:tcPr>
          <w:p w14:paraId="3E6656CE" w14:textId="01E04DA1" w:rsidR="00E2539B" w:rsidRPr="00374DFA" w:rsidRDefault="00374DFA" w:rsidP="00BC78B4">
            <w:pPr>
              <w:rPr>
                <w:sz w:val="18"/>
                <w:szCs w:val="18"/>
              </w:rPr>
            </w:pPr>
            <w:r w:rsidRPr="00374DFA">
              <w:rPr>
                <w:sz w:val="18"/>
                <w:szCs w:val="18"/>
              </w:rPr>
              <w:t>A</w:t>
            </w:r>
          </w:p>
        </w:tc>
      </w:tr>
      <w:tr w:rsidR="005721D3" w:rsidRPr="00374DFA" w14:paraId="5816D6DD" w14:textId="77777777" w:rsidTr="00BC78B4">
        <w:tc>
          <w:tcPr>
            <w:tcW w:w="0" w:type="auto"/>
          </w:tcPr>
          <w:p w14:paraId="2A27FF70" w14:textId="4837F037" w:rsidR="00E2539B" w:rsidRPr="00374DFA" w:rsidRDefault="005721D3" w:rsidP="005721D3">
            <w:pPr>
              <w:rPr>
                <w:sz w:val="18"/>
                <w:szCs w:val="18"/>
              </w:rPr>
            </w:pPr>
            <w:r w:rsidRPr="00374DFA">
              <w:rPr>
                <w:sz w:val="18"/>
                <w:szCs w:val="18"/>
              </w:rPr>
              <w:t>Suzanna Roman-Oliver</w:t>
            </w:r>
          </w:p>
        </w:tc>
        <w:tc>
          <w:tcPr>
            <w:tcW w:w="0" w:type="auto"/>
          </w:tcPr>
          <w:p w14:paraId="5B7F453A" w14:textId="3F73CA8C" w:rsidR="00E2539B" w:rsidRPr="00374DFA" w:rsidRDefault="0058456A" w:rsidP="00BC78B4">
            <w:pPr>
              <w:rPr>
                <w:sz w:val="18"/>
                <w:szCs w:val="18"/>
              </w:rPr>
            </w:pPr>
            <w:r w:rsidRPr="00374DFA">
              <w:rPr>
                <w:sz w:val="18"/>
                <w:szCs w:val="18"/>
              </w:rPr>
              <w:t>P</w:t>
            </w:r>
          </w:p>
        </w:tc>
        <w:tc>
          <w:tcPr>
            <w:tcW w:w="0" w:type="auto"/>
          </w:tcPr>
          <w:p w14:paraId="3C8F9E3C" w14:textId="1B8FB7D1" w:rsidR="00E2539B" w:rsidRPr="00374DFA" w:rsidRDefault="0058456A" w:rsidP="00BC78B4">
            <w:pPr>
              <w:rPr>
                <w:sz w:val="18"/>
                <w:szCs w:val="18"/>
              </w:rPr>
            </w:pPr>
            <w:r w:rsidRPr="00374DFA">
              <w:rPr>
                <w:sz w:val="18"/>
                <w:szCs w:val="18"/>
              </w:rPr>
              <w:t>P</w:t>
            </w:r>
          </w:p>
        </w:tc>
        <w:tc>
          <w:tcPr>
            <w:tcW w:w="0" w:type="auto"/>
          </w:tcPr>
          <w:p w14:paraId="6CB6274E" w14:textId="694E34AE" w:rsidR="00E2539B" w:rsidRPr="00374DFA" w:rsidRDefault="0058456A" w:rsidP="00BC78B4">
            <w:pPr>
              <w:rPr>
                <w:sz w:val="18"/>
                <w:szCs w:val="18"/>
              </w:rPr>
            </w:pPr>
            <w:r w:rsidRPr="00374DFA">
              <w:rPr>
                <w:sz w:val="18"/>
                <w:szCs w:val="18"/>
              </w:rPr>
              <w:t>P</w:t>
            </w:r>
          </w:p>
        </w:tc>
        <w:tc>
          <w:tcPr>
            <w:tcW w:w="0" w:type="auto"/>
          </w:tcPr>
          <w:p w14:paraId="230ECE6E" w14:textId="05167611" w:rsidR="00E2539B" w:rsidRPr="00374DFA" w:rsidRDefault="0058456A" w:rsidP="00BC78B4">
            <w:pPr>
              <w:rPr>
                <w:sz w:val="18"/>
                <w:szCs w:val="18"/>
              </w:rPr>
            </w:pPr>
            <w:r w:rsidRPr="00374DFA">
              <w:rPr>
                <w:sz w:val="18"/>
                <w:szCs w:val="18"/>
              </w:rPr>
              <w:t>P</w:t>
            </w:r>
          </w:p>
        </w:tc>
        <w:tc>
          <w:tcPr>
            <w:tcW w:w="0" w:type="auto"/>
          </w:tcPr>
          <w:p w14:paraId="0A120571" w14:textId="4F0DA19C" w:rsidR="00E2539B" w:rsidRPr="00374DFA" w:rsidRDefault="0058456A" w:rsidP="00BC78B4">
            <w:pPr>
              <w:rPr>
                <w:sz w:val="18"/>
                <w:szCs w:val="18"/>
              </w:rPr>
            </w:pPr>
            <w:r w:rsidRPr="00374DFA">
              <w:rPr>
                <w:sz w:val="18"/>
                <w:szCs w:val="18"/>
              </w:rPr>
              <w:t>P</w:t>
            </w:r>
          </w:p>
        </w:tc>
        <w:tc>
          <w:tcPr>
            <w:tcW w:w="0" w:type="auto"/>
          </w:tcPr>
          <w:p w14:paraId="70676B5B" w14:textId="69B744E3" w:rsidR="00E2539B" w:rsidRPr="00374DFA" w:rsidRDefault="0058456A" w:rsidP="00BC78B4">
            <w:pPr>
              <w:rPr>
                <w:sz w:val="18"/>
                <w:szCs w:val="18"/>
              </w:rPr>
            </w:pPr>
            <w:r w:rsidRPr="00374DFA">
              <w:rPr>
                <w:sz w:val="18"/>
                <w:szCs w:val="18"/>
              </w:rPr>
              <w:t>P</w:t>
            </w:r>
          </w:p>
        </w:tc>
        <w:tc>
          <w:tcPr>
            <w:tcW w:w="0" w:type="auto"/>
          </w:tcPr>
          <w:p w14:paraId="4A8E81D0" w14:textId="150ED85B" w:rsidR="00E2539B" w:rsidRPr="00374DFA" w:rsidRDefault="00374DFA" w:rsidP="00BC78B4">
            <w:pPr>
              <w:rPr>
                <w:sz w:val="18"/>
                <w:szCs w:val="18"/>
              </w:rPr>
            </w:pPr>
            <w:r w:rsidRPr="00374DFA">
              <w:rPr>
                <w:sz w:val="18"/>
                <w:szCs w:val="18"/>
              </w:rPr>
              <w:t>P</w:t>
            </w:r>
          </w:p>
        </w:tc>
      </w:tr>
      <w:tr w:rsidR="005721D3" w:rsidRPr="00374DFA" w14:paraId="76456AF6" w14:textId="77777777" w:rsidTr="00BC78B4">
        <w:tc>
          <w:tcPr>
            <w:tcW w:w="0" w:type="auto"/>
          </w:tcPr>
          <w:p w14:paraId="7F3DAF01" w14:textId="17A359FB" w:rsidR="00E2539B" w:rsidRPr="00374DFA" w:rsidRDefault="005721D3" w:rsidP="005721D3">
            <w:pPr>
              <w:rPr>
                <w:sz w:val="18"/>
                <w:szCs w:val="18"/>
              </w:rPr>
            </w:pPr>
            <w:r w:rsidRPr="00374DFA">
              <w:rPr>
                <w:sz w:val="18"/>
                <w:szCs w:val="18"/>
              </w:rPr>
              <w:t>John Marshall Smith</w:t>
            </w:r>
          </w:p>
        </w:tc>
        <w:tc>
          <w:tcPr>
            <w:tcW w:w="0" w:type="auto"/>
          </w:tcPr>
          <w:p w14:paraId="7C6FA794" w14:textId="582E4323" w:rsidR="00E2539B" w:rsidRPr="00374DFA" w:rsidRDefault="0058456A" w:rsidP="00BC78B4">
            <w:pPr>
              <w:rPr>
                <w:sz w:val="18"/>
                <w:szCs w:val="18"/>
              </w:rPr>
            </w:pPr>
            <w:r w:rsidRPr="00374DFA">
              <w:rPr>
                <w:sz w:val="18"/>
                <w:szCs w:val="18"/>
              </w:rPr>
              <w:t>P</w:t>
            </w:r>
          </w:p>
        </w:tc>
        <w:tc>
          <w:tcPr>
            <w:tcW w:w="0" w:type="auto"/>
          </w:tcPr>
          <w:p w14:paraId="627CE076" w14:textId="738B8019" w:rsidR="00E2539B" w:rsidRPr="00374DFA" w:rsidRDefault="0058456A" w:rsidP="00BC78B4">
            <w:pPr>
              <w:rPr>
                <w:sz w:val="18"/>
                <w:szCs w:val="18"/>
              </w:rPr>
            </w:pPr>
            <w:r w:rsidRPr="00374DFA">
              <w:rPr>
                <w:sz w:val="18"/>
                <w:szCs w:val="18"/>
              </w:rPr>
              <w:t>P</w:t>
            </w:r>
          </w:p>
        </w:tc>
        <w:tc>
          <w:tcPr>
            <w:tcW w:w="0" w:type="auto"/>
          </w:tcPr>
          <w:p w14:paraId="6BBBE6E8" w14:textId="7847D8D7" w:rsidR="00E2539B" w:rsidRPr="00374DFA" w:rsidRDefault="0058456A" w:rsidP="00BC78B4">
            <w:pPr>
              <w:rPr>
                <w:sz w:val="18"/>
                <w:szCs w:val="18"/>
              </w:rPr>
            </w:pPr>
            <w:r w:rsidRPr="00374DFA">
              <w:rPr>
                <w:sz w:val="18"/>
                <w:szCs w:val="18"/>
              </w:rPr>
              <w:t>P</w:t>
            </w:r>
          </w:p>
        </w:tc>
        <w:tc>
          <w:tcPr>
            <w:tcW w:w="0" w:type="auto"/>
          </w:tcPr>
          <w:p w14:paraId="22963C88" w14:textId="49BC1F4D" w:rsidR="00E2539B" w:rsidRPr="00374DFA" w:rsidRDefault="0058456A" w:rsidP="00BC78B4">
            <w:pPr>
              <w:rPr>
                <w:sz w:val="18"/>
                <w:szCs w:val="18"/>
              </w:rPr>
            </w:pPr>
            <w:r w:rsidRPr="00374DFA">
              <w:rPr>
                <w:sz w:val="18"/>
                <w:szCs w:val="18"/>
              </w:rPr>
              <w:t>R</w:t>
            </w:r>
          </w:p>
        </w:tc>
        <w:tc>
          <w:tcPr>
            <w:tcW w:w="0" w:type="auto"/>
          </w:tcPr>
          <w:p w14:paraId="789CF6C2" w14:textId="58FDB93C" w:rsidR="00E2539B" w:rsidRPr="00374DFA" w:rsidRDefault="0058456A" w:rsidP="00BC78B4">
            <w:pPr>
              <w:rPr>
                <w:sz w:val="18"/>
                <w:szCs w:val="18"/>
              </w:rPr>
            </w:pPr>
            <w:r w:rsidRPr="00374DFA">
              <w:rPr>
                <w:sz w:val="18"/>
                <w:szCs w:val="18"/>
              </w:rPr>
              <w:t>P</w:t>
            </w:r>
          </w:p>
        </w:tc>
        <w:tc>
          <w:tcPr>
            <w:tcW w:w="0" w:type="auto"/>
          </w:tcPr>
          <w:p w14:paraId="38B36A03" w14:textId="36DAB3CC" w:rsidR="00E2539B" w:rsidRPr="00374DFA" w:rsidRDefault="0058456A" w:rsidP="00BC78B4">
            <w:pPr>
              <w:rPr>
                <w:sz w:val="18"/>
                <w:szCs w:val="18"/>
              </w:rPr>
            </w:pPr>
            <w:r w:rsidRPr="00374DFA">
              <w:rPr>
                <w:sz w:val="18"/>
                <w:szCs w:val="18"/>
              </w:rPr>
              <w:t>R</w:t>
            </w:r>
          </w:p>
        </w:tc>
        <w:tc>
          <w:tcPr>
            <w:tcW w:w="0" w:type="auto"/>
          </w:tcPr>
          <w:p w14:paraId="55F6C08B" w14:textId="758EDDBF" w:rsidR="00E2539B" w:rsidRPr="00374DFA" w:rsidRDefault="00374DFA" w:rsidP="00BC78B4">
            <w:pPr>
              <w:rPr>
                <w:sz w:val="18"/>
                <w:szCs w:val="18"/>
              </w:rPr>
            </w:pPr>
            <w:r w:rsidRPr="00374DFA">
              <w:rPr>
                <w:sz w:val="18"/>
                <w:szCs w:val="18"/>
              </w:rPr>
              <w:t>P</w:t>
            </w:r>
          </w:p>
        </w:tc>
      </w:tr>
      <w:tr w:rsidR="005721D3" w:rsidRPr="00374DFA" w14:paraId="09573140" w14:textId="77777777" w:rsidTr="00BC78B4">
        <w:tc>
          <w:tcPr>
            <w:tcW w:w="0" w:type="auto"/>
          </w:tcPr>
          <w:p w14:paraId="7B8BD5D5" w14:textId="5BD5676D" w:rsidR="00E2539B" w:rsidRPr="00374DFA" w:rsidRDefault="005721D3" w:rsidP="005721D3">
            <w:pPr>
              <w:rPr>
                <w:sz w:val="18"/>
                <w:szCs w:val="18"/>
              </w:rPr>
            </w:pPr>
            <w:r w:rsidRPr="00374DFA">
              <w:rPr>
                <w:sz w:val="18"/>
                <w:szCs w:val="18"/>
              </w:rPr>
              <w:t>Winston Tripp</w:t>
            </w:r>
          </w:p>
        </w:tc>
        <w:tc>
          <w:tcPr>
            <w:tcW w:w="0" w:type="auto"/>
          </w:tcPr>
          <w:p w14:paraId="3E9758A5" w14:textId="00B55045" w:rsidR="00E2539B" w:rsidRPr="00374DFA" w:rsidRDefault="0058456A" w:rsidP="00BC78B4">
            <w:pPr>
              <w:rPr>
                <w:sz w:val="18"/>
                <w:szCs w:val="18"/>
              </w:rPr>
            </w:pPr>
            <w:r w:rsidRPr="00374DFA">
              <w:rPr>
                <w:sz w:val="18"/>
                <w:szCs w:val="18"/>
              </w:rPr>
              <w:t>P</w:t>
            </w:r>
          </w:p>
        </w:tc>
        <w:tc>
          <w:tcPr>
            <w:tcW w:w="0" w:type="auto"/>
          </w:tcPr>
          <w:p w14:paraId="4F308CFB" w14:textId="22E7C156" w:rsidR="00E2539B" w:rsidRPr="00374DFA" w:rsidRDefault="0058456A" w:rsidP="00BC78B4">
            <w:pPr>
              <w:rPr>
                <w:sz w:val="18"/>
                <w:szCs w:val="18"/>
              </w:rPr>
            </w:pPr>
            <w:r w:rsidRPr="00374DFA">
              <w:rPr>
                <w:sz w:val="18"/>
                <w:szCs w:val="18"/>
              </w:rPr>
              <w:t>P</w:t>
            </w:r>
          </w:p>
        </w:tc>
        <w:tc>
          <w:tcPr>
            <w:tcW w:w="0" w:type="auto"/>
          </w:tcPr>
          <w:p w14:paraId="149D4743" w14:textId="51DC4DDC" w:rsidR="00E2539B" w:rsidRPr="00374DFA" w:rsidRDefault="0058456A" w:rsidP="00BC78B4">
            <w:pPr>
              <w:rPr>
                <w:sz w:val="18"/>
                <w:szCs w:val="18"/>
              </w:rPr>
            </w:pPr>
            <w:r w:rsidRPr="00374DFA">
              <w:rPr>
                <w:sz w:val="18"/>
                <w:szCs w:val="18"/>
              </w:rPr>
              <w:t>P</w:t>
            </w:r>
          </w:p>
        </w:tc>
        <w:tc>
          <w:tcPr>
            <w:tcW w:w="0" w:type="auto"/>
          </w:tcPr>
          <w:p w14:paraId="70C39327" w14:textId="51099E7E" w:rsidR="00E2539B" w:rsidRPr="00374DFA" w:rsidRDefault="0058456A" w:rsidP="00BC78B4">
            <w:pPr>
              <w:rPr>
                <w:sz w:val="18"/>
                <w:szCs w:val="18"/>
              </w:rPr>
            </w:pPr>
            <w:r w:rsidRPr="00374DFA">
              <w:rPr>
                <w:sz w:val="18"/>
                <w:szCs w:val="18"/>
              </w:rPr>
              <w:t>P</w:t>
            </w:r>
          </w:p>
        </w:tc>
        <w:tc>
          <w:tcPr>
            <w:tcW w:w="0" w:type="auto"/>
          </w:tcPr>
          <w:p w14:paraId="19F139C1" w14:textId="18B80B4A" w:rsidR="00E2539B" w:rsidRPr="00374DFA" w:rsidRDefault="0058456A" w:rsidP="00BC78B4">
            <w:pPr>
              <w:rPr>
                <w:sz w:val="18"/>
                <w:szCs w:val="18"/>
              </w:rPr>
            </w:pPr>
            <w:r w:rsidRPr="00374DFA">
              <w:rPr>
                <w:sz w:val="18"/>
                <w:szCs w:val="18"/>
              </w:rPr>
              <w:t>R</w:t>
            </w:r>
          </w:p>
        </w:tc>
        <w:tc>
          <w:tcPr>
            <w:tcW w:w="0" w:type="auto"/>
          </w:tcPr>
          <w:p w14:paraId="56415AE2" w14:textId="7F307232" w:rsidR="00E2539B" w:rsidRPr="00374DFA" w:rsidRDefault="0058456A" w:rsidP="00BC78B4">
            <w:pPr>
              <w:rPr>
                <w:sz w:val="18"/>
                <w:szCs w:val="18"/>
              </w:rPr>
            </w:pPr>
            <w:r w:rsidRPr="00374DFA">
              <w:rPr>
                <w:sz w:val="18"/>
                <w:szCs w:val="18"/>
              </w:rPr>
              <w:t>P</w:t>
            </w:r>
          </w:p>
        </w:tc>
        <w:tc>
          <w:tcPr>
            <w:tcW w:w="0" w:type="auto"/>
          </w:tcPr>
          <w:p w14:paraId="24486BAA" w14:textId="04DDCC32" w:rsidR="00E2539B" w:rsidRPr="00374DFA" w:rsidRDefault="00374DFA" w:rsidP="00BC78B4">
            <w:pPr>
              <w:rPr>
                <w:sz w:val="18"/>
                <w:szCs w:val="18"/>
              </w:rPr>
            </w:pPr>
            <w:r w:rsidRPr="00374DFA">
              <w:rPr>
                <w:sz w:val="18"/>
                <w:szCs w:val="18"/>
              </w:rPr>
              <w:t>P</w:t>
            </w:r>
          </w:p>
        </w:tc>
      </w:tr>
      <w:tr w:rsidR="005721D3" w:rsidRPr="00374DFA" w14:paraId="78AE511F" w14:textId="77777777" w:rsidTr="00BC78B4">
        <w:tc>
          <w:tcPr>
            <w:tcW w:w="0" w:type="auto"/>
          </w:tcPr>
          <w:p w14:paraId="31C7CC61" w14:textId="798B853E" w:rsidR="005721D3" w:rsidRPr="00374DFA" w:rsidRDefault="005721D3" w:rsidP="005721D3">
            <w:pPr>
              <w:rPr>
                <w:sz w:val="18"/>
                <w:szCs w:val="18"/>
              </w:rPr>
            </w:pPr>
            <w:r w:rsidRPr="00374DFA">
              <w:rPr>
                <w:sz w:val="18"/>
                <w:szCs w:val="18"/>
              </w:rPr>
              <w:t>David Weese</w:t>
            </w:r>
          </w:p>
        </w:tc>
        <w:tc>
          <w:tcPr>
            <w:tcW w:w="0" w:type="auto"/>
          </w:tcPr>
          <w:p w14:paraId="58F87E07" w14:textId="46D526C2" w:rsidR="005721D3" w:rsidRPr="00374DFA" w:rsidRDefault="0058456A" w:rsidP="00BC78B4">
            <w:pPr>
              <w:rPr>
                <w:sz w:val="18"/>
                <w:szCs w:val="18"/>
              </w:rPr>
            </w:pPr>
            <w:r w:rsidRPr="00374DFA">
              <w:rPr>
                <w:sz w:val="18"/>
                <w:szCs w:val="18"/>
              </w:rPr>
              <w:t>P</w:t>
            </w:r>
          </w:p>
        </w:tc>
        <w:tc>
          <w:tcPr>
            <w:tcW w:w="0" w:type="auto"/>
          </w:tcPr>
          <w:p w14:paraId="5007B5BF" w14:textId="2FF0B48B" w:rsidR="005721D3" w:rsidRPr="00374DFA" w:rsidRDefault="0058456A" w:rsidP="00BC78B4">
            <w:pPr>
              <w:rPr>
                <w:sz w:val="18"/>
                <w:szCs w:val="18"/>
              </w:rPr>
            </w:pPr>
            <w:r w:rsidRPr="00374DFA">
              <w:rPr>
                <w:sz w:val="18"/>
                <w:szCs w:val="18"/>
              </w:rPr>
              <w:t>P</w:t>
            </w:r>
          </w:p>
        </w:tc>
        <w:tc>
          <w:tcPr>
            <w:tcW w:w="0" w:type="auto"/>
          </w:tcPr>
          <w:p w14:paraId="52D44D1B" w14:textId="0BA3CDC3" w:rsidR="005721D3" w:rsidRPr="00374DFA" w:rsidRDefault="0058456A" w:rsidP="00BC78B4">
            <w:pPr>
              <w:rPr>
                <w:sz w:val="18"/>
                <w:szCs w:val="18"/>
              </w:rPr>
            </w:pPr>
            <w:r w:rsidRPr="00374DFA">
              <w:rPr>
                <w:sz w:val="18"/>
                <w:szCs w:val="18"/>
              </w:rPr>
              <w:t>P</w:t>
            </w:r>
          </w:p>
        </w:tc>
        <w:tc>
          <w:tcPr>
            <w:tcW w:w="0" w:type="auto"/>
          </w:tcPr>
          <w:p w14:paraId="359EF427" w14:textId="79123996" w:rsidR="005721D3" w:rsidRPr="00374DFA" w:rsidRDefault="0058456A" w:rsidP="00BC78B4">
            <w:pPr>
              <w:rPr>
                <w:sz w:val="18"/>
                <w:szCs w:val="18"/>
              </w:rPr>
            </w:pPr>
            <w:r w:rsidRPr="00374DFA">
              <w:rPr>
                <w:sz w:val="18"/>
                <w:szCs w:val="18"/>
              </w:rPr>
              <w:t>P</w:t>
            </w:r>
          </w:p>
        </w:tc>
        <w:tc>
          <w:tcPr>
            <w:tcW w:w="0" w:type="auto"/>
          </w:tcPr>
          <w:p w14:paraId="2E0952DD" w14:textId="6795DD36" w:rsidR="005721D3" w:rsidRPr="00374DFA" w:rsidRDefault="0058456A" w:rsidP="00BC78B4">
            <w:pPr>
              <w:rPr>
                <w:sz w:val="18"/>
                <w:szCs w:val="18"/>
              </w:rPr>
            </w:pPr>
            <w:r w:rsidRPr="00374DFA">
              <w:rPr>
                <w:sz w:val="18"/>
                <w:szCs w:val="18"/>
              </w:rPr>
              <w:t>P</w:t>
            </w:r>
          </w:p>
        </w:tc>
        <w:tc>
          <w:tcPr>
            <w:tcW w:w="0" w:type="auto"/>
          </w:tcPr>
          <w:p w14:paraId="36BCA1D5" w14:textId="0099E73F" w:rsidR="005721D3" w:rsidRPr="00374DFA" w:rsidRDefault="0058456A" w:rsidP="00BC78B4">
            <w:pPr>
              <w:rPr>
                <w:sz w:val="18"/>
                <w:szCs w:val="18"/>
              </w:rPr>
            </w:pPr>
            <w:r w:rsidRPr="00374DFA">
              <w:rPr>
                <w:sz w:val="18"/>
                <w:szCs w:val="18"/>
              </w:rPr>
              <w:t>R</w:t>
            </w:r>
          </w:p>
        </w:tc>
        <w:tc>
          <w:tcPr>
            <w:tcW w:w="0" w:type="auto"/>
          </w:tcPr>
          <w:p w14:paraId="7D992F08" w14:textId="4BEF4B8B" w:rsidR="005721D3" w:rsidRPr="00374DFA" w:rsidRDefault="00374DFA" w:rsidP="00BC78B4">
            <w:pPr>
              <w:rPr>
                <w:sz w:val="18"/>
                <w:szCs w:val="18"/>
              </w:rPr>
            </w:pPr>
            <w:r w:rsidRPr="00374DFA">
              <w:rPr>
                <w:sz w:val="18"/>
                <w:szCs w:val="18"/>
              </w:rPr>
              <w:t>P</w:t>
            </w:r>
          </w:p>
        </w:tc>
      </w:tr>
    </w:tbl>
    <w:p w14:paraId="0F30E840" w14:textId="77777777" w:rsidR="00865BBB" w:rsidRDefault="00865BBB" w:rsidP="00865BBB">
      <w:r>
        <w:rPr>
          <w:b/>
          <w:bCs/>
          <w:sz w:val="20"/>
          <w:szCs w:val="20"/>
        </w:rPr>
        <w:t> </w:t>
      </w:r>
    </w:p>
    <w:p w14:paraId="624A890F" w14:textId="77777777" w:rsidR="00865BBB" w:rsidRDefault="00865BBB" w:rsidP="00865BBB">
      <w:r>
        <w:rPr>
          <w:b/>
          <w:bCs/>
          <w:sz w:val="20"/>
          <w:szCs w:val="20"/>
        </w:rPr>
        <w:t>Motions brought to the Senate floor:</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5"/>
        <w:gridCol w:w="1620"/>
        <w:gridCol w:w="1372"/>
        <w:gridCol w:w="1148"/>
        <w:gridCol w:w="1530"/>
        <w:gridCol w:w="1170"/>
      </w:tblGrid>
      <w:tr w:rsidR="00FE2912" w:rsidRPr="00374DFA" w14:paraId="05CAF1A4" w14:textId="77777777" w:rsidTr="00FE2912">
        <w:trPr>
          <w:tblHeader/>
        </w:trPr>
        <w:tc>
          <w:tcPr>
            <w:tcW w:w="2605" w:type="dxa"/>
            <w:shd w:val="clear" w:color="auto" w:fill="F9F9F9"/>
            <w:tcMar>
              <w:top w:w="75" w:type="dxa"/>
              <w:left w:w="150" w:type="dxa"/>
              <w:bottom w:w="75" w:type="dxa"/>
              <w:right w:w="150" w:type="dxa"/>
            </w:tcMar>
            <w:vAlign w:val="center"/>
            <w:hideMark/>
          </w:tcPr>
          <w:p w14:paraId="14EF0468" w14:textId="77777777" w:rsidR="00374DFA" w:rsidRPr="00374DFA" w:rsidRDefault="00374DFA" w:rsidP="00374DFA">
            <w:pPr>
              <w:rPr>
                <w:b/>
                <w:bCs/>
                <w:sz w:val="18"/>
                <w:szCs w:val="18"/>
              </w:rPr>
            </w:pPr>
            <w:hyperlink r:id="rId9" w:tooltip="sort by Motion" w:history="1">
              <w:r w:rsidRPr="00374DFA">
                <w:rPr>
                  <w:rStyle w:val="Hyperlink"/>
                  <w:b/>
                  <w:bCs/>
                  <w:sz w:val="18"/>
                  <w:szCs w:val="18"/>
                </w:rPr>
                <w:t>Motion</w:t>
              </w:r>
            </w:hyperlink>
          </w:p>
        </w:tc>
        <w:tc>
          <w:tcPr>
            <w:tcW w:w="1620" w:type="dxa"/>
            <w:shd w:val="clear" w:color="auto" w:fill="F9F9F9"/>
            <w:tcMar>
              <w:top w:w="75" w:type="dxa"/>
              <w:left w:w="150" w:type="dxa"/>
              <w:bottom w:w="75" w:type="dxa"/>
              <w:right w:w="150" w:type="dxa"/>
            </w:tcMar>
            <w:vAlign w:val="center"/>
            <w:hideMark/>
          </w:tcPr>
          <w:p w14:paraId="3088BDA2" w14:textId="77777777" w:rsidR="00374DFA" w:rsidRPr="00374DFA" w:rsidRDefault="00374DFA" w:rsidP="00374DFA">
            <w:pPr>
              <w:rPr>
                <w:b/>
                <w:bCs/>
                <w:sz w:val="18"/>
                <w:szCs w:val="18"/>
              </w:rPr>
            </w:pPr>
            <w:hyperlink r:id="rId10" w:tooltip="sort by Type" w:history="1">
              <w:r w:rsidRPr="00374DFA">
                <w:rPr>
                  <w:rStyle w:val="Hyperlink"/>
                  <w:b/>
                  <w:bCs/>
                  <w:sz w:val="18"/>
                  <w:szCs w:val="18"/>
                </w:rPr>
                <w:t>Type</w:t>
              </w:r>
            </w:hyperlink>
          </w:p>
        </w:tc>
        <w:tc>
          <w:tcPr>
            <w:tcW w:w="1372" w:type="dxa"/>
            <w:shd w:val="clear" w:color="auto" w:fill="F9F9F9"/>
            <w:tcMar>
              <w:top w:w="75" w:type="dxa"/>
              <w:left w:w="150" w:type="dxa"/>
              <w:bottom w:w="75" w:type="dxa"/>
              <w:right w:w="150" w:type="dxa"/>
            </w:tcMar>
            <w:vAlign w:val="center"/>
            <w:hideMark/>
          </w:tcPr>
          <w:p w14:paraId="08DFBE01" w14:textId="77777777" w:rsidR="00374DFA" w:rsidRPr="00374DFA" w:rsidRDefault="00374DFA" w:rsidP="00374DFA">
            <w:pPr>
              <w:rPr>
                <w:b/>
                <w:bCs/>
                <w:sz w:val="18"/>
                <w:szCs w:val="18"/>
              </w:rPr>
            </w:pPr>
            <w:hyperlink r:id="rId11" w:tooltip="sort by Author" w:history="1">
              <w:r w:rsidRPr="00374DFA">
                <w:rPr>
                  <w:rStyle w:val="Hyperlink"/>
                  <w:b/>
                  <w:bCs/>
                  <w:sz w:val="18"/>
                  <w:szCs w:val="18"/>
                </w:rPr>
                <w:t>Author</w:t>
              </w:r>
            </w:hyperlink>
          </w:p>
        </w:tc>
        <w:tc>
          <w:tcPr>
            <w:tcW w:w="1148" w:type="dxa"/>
            <w:shd w:val="clear" w:color="auto" w:fill="F9F9F9"/>
            <w:tcMar>
              <w:top w:w="75" w:type="dxa"/>
              <w:left w:w="150" w:type="dxa"/>
              <w:bottom w:w="75" w:type="dxa"/>
              <w:right w:w="150" w:type="dxa"/>
            </w:tcMar>
            <w:vAlign w:val="center"/>
            <w:hideMark/>
          </w:tcPr>
          <w:p w14:paraId="0A88F127" w14:textId="4C0BC9EB" w:rsidR="00374DFA" w:rsidRPr="00374DFA" w:rsidRDefault="00374DFA" w:rsidP="00374DFA">
            <w:pPr>
              <w:rPr>
                <w:b/>
                <w:bCs/>
                <w:sz w:val="18"/>
                <w:szCs w:val="18"/>
              </w:rPr>
            </w:pPr>
            <w:hyperlink r:id="rId12" w:tooltip="sort by Source Commitee" w:history="1">
              <w:proofErr w:type="spellStart"/>
              <w:r w:rsidRPr="00374DFA">
                <w:rPr>
                  <w:rStyle w:val="Hyperlink"/>
                  <w:b/>
                  <w:bCs/>
                  <w:sz w:val="18"/>
                  <w:szCs w:val="18"/>
                </w:rPr>
                <w:t>Commitee</w:t>
              </w:r>
              <w:proofErr w:type="spellEnd"/>
            </w:hyperlink>
          </w:p>
        </w:tc>
        <w:tc>
          <w:tcPr>
            <w:tcW w:w="1530" w:type="dxa"/>
            <w:shd w:val="clear" w:color="auto" w:fill="F9F9F9"/>
            <w:tcMar>
              <w:top w:w="75" w:type="dxa"/>
              <w:left w:w="150" w:type="dxa"/>
              <w:bottom w:w="75" w:type="dxa"/>
              <w:right w:w="150" w:type="dxa"/>
            </w:tcMar>
            <w:vAlign w:val="center"/>
            <w:hideMark/>
          </w:tcPr>
          <w:p w14:paraId="42980EE7" w14:textId="77777777" w:rsidR="00374DFA" w:rsidRPr="00374DFA" w:rsidRDefault="00374DFA" w:rsidP="00374DFA">
            <w:pPr>
              <w:rPr>
                <w:b/>
                <w:bCs/>
                <w:sz w:val="18"/>
                <w:szCs w:val="18"/>
              </w:rPr>
            </w:pPr>
            <w:hyperlink r:id="rId13" w:tooltip="sort by Status" w:history="1">
              <w:r w:rsidRPr="00374DFA">
                <w:rPr>
                  <w:rStyle w:val="Hyperlink"/>
                  <w:b/>
                  <w:bCs/>
                  <w:sz w:val="18"/>
                  <w:szCs w:val="18"/>
                </w:rPr>
                <w:t>Status</w:t>
              </w:r>
            </w:hyperlink>
          </w:p>
        </w:tc>
        <w:tc>
          <w:tcPr>
            <w:tcW w:w="1170" w:type="dxa"/>
            <w:shd w:val="clear" w:color="auto" w:fill="F9F9F9"/>
            <w:tcMar>
              <w:top w:w="75" w:type="dxa"/>
              <w:left w:w="150" w:type="dxa"/>
              <w:bottom w:w="75" w:type="dxa"/>
              <w:right w:w="150" w:type="dxa"/>
            </w:tcMar>
            <w:vAlign w:val="center"/>
            <w:hideMark/>
          </w:tcPr>
          <w:p w14:paraId="5E80946D" w14:textId="7B4E2A83" w:rsidR="00374DFA" w:rsidRPr="00374DFA" w:rsidRDefault="00374DFA" w:rsidP="00374DFA">
            <w:pPr>
              <w:rPr>
                <w:b/>
                <w:bCs/>
                <w:sz w:val="18"/>
                <w:szCs w:val="18"/>
              </w:rPr>
            </w:pPr>
            <w:hyperlink r:id="rId14" w:tooltip="sort by Last Update" w:history="1">
              <w:r w:rsidRPr="00374DFA">
                <w:rPr>
                  <w:rStyle w:val="Hyperlink"/>
                  <w:b/>
                  <w:bCs/>
                  <w:sz w:val="18"/>
                  <w:szCs w:val="18"/>
                </w:rPr>
                <w:t>Update</w:t>
              </w:r>
            </w:hyperlink>
          </w:p>
        </w:tc>
      </w:tr>
      <w:tr w:rsidR="00FE2912" w:rsidRPr="00374DFA" w14:paraId="133D7F71" w14:textId="77777777" w:rsidTr="00FE2912">
        <w:tc>
          <w:tcPr>
            <w:tcW w:w="2605" w:type="dxa"/>
            <w:shd w:val="clear" w:color="auto" w:fill="F4F4F4"/>
            <w:tcMar>
              <w:top w:w="150" w:type="dxa"/>
              <w:left w:w="150" w:type="dxa"/>
              <w:bottom w:w="150" w:type="dxa"/>
              <w:right w:w="150" w:type="dxa"/>
            </w:tcMar>
            <w:vAlign w:val="center"/>
            <w:hideMark/>
          </w:tcPr>
          <w:p w14:paraId="55A4E476" w14:textId="77777777" w:rsidR="00374DFA" w:rsidRPr="00374DFA" w:rsidRDefault="00374DFA" w:rsidP="00374DFA">
            <w:pPr>
              <w:rPr>
                <w:sz w:val="18"/>
                <w:szCs w:val="18"/>
              </w:rPr>
            </w:pPr>
            <w:r w:rsidRPr="00374DFA">
              <w:rPr>
                <w:sz w:val="18"/>
                <w:szCs w:val="18"/>
              </w:rPr>
              <w:t>[2425.FAPC.001.P]</w:t>
            </w:r>
            <w:r w:rsidRPr="00374DFA">
              <w:rPr>
                <w:sz w:val="18"/>
                <w:szCs w:val="18"/>
              </w:rPr>
              <w:br/>
            </w:r>
            <w:hyperlink r:id="rId15" w:history="1">
              <w:r w:rsidRPr="00374DFA">
                <w:rPr>
                  <w:rStyle w:val="Hyperlink"/>
                  <w:sz w:val="18"/>
                  <w:szCs w:val="18"/>
                </w:rPr>
                <w:t>Emeritus Title Policy Revision</w:t>
              </w:r>
            </w:hyperlink>
          </w:p>
        </w:tc>
        <w:tc>
          <w:tcPr>
            <w:tcW w:w="1620" w:type="dxa"/>
            <w:shd w:val="clear" w:color="auto" w:fill="F4F4F4"/>
            <w:tcMar>
              <w:top w:w="150" w:type="dxa"/>
              <w:left w:w="150" w:type="dxa"/>
              <w:bottom w:w="150" w:type="dxa"/>
              <w:right w:w="150" w:type="dxa"/>
            </w:tcMar>
            <w:vAlign w:val="center"/>
            <w:hideMark/>
          </w:tcPr>
          <w:p w14:paraId="31DD7270" w14:textId="77777777" w:rsidR="00374DFA" w:rsidRPr="00374DFA" w:rsidRDefault="00374DFA" w:rsidP="00374DFA">
            <w:pPr>
              <w:rPr>
                <w:sz w:val="18"/>
                <w:szCs w:val="18"/>
              </w:rPr>
            </w:pPr>
            <w:r w:rsidRPr="00374DFA">
              <w:rPr>
                <w:sz w:val="18"/>
                <w:szCs w:val="18"/>
              </w:rPr>
              <w:t>Policy Recommendation</w:t>
            </w:r>
          </w:p>
        </w:tc>
        <w:tc>
          <w:tcPr>
            <w:tcW w:w="1372" w:type="dxa"/>
            <w:shd w:val="clear" w:color="auto" w:fill="F4F4F4"/>
            <w:tcMar>
              <w:top w:w="150" w:type="dxa"/>
              <w:left w:w="150" w:type="dxa"/>
              <w:bottom w:w="150" w:type="dxa"/>
              <w:right w:w="150" w:type="dxa"/>
            </w:tcMar>
            <w:vAlign w:val="center"/>
            <w:hideMark/>
          </w:tcPr>
          <w:p w14:paraId="177BF7ED" w14:textId="77777777" w:rsidR="00374DFA" w:rsidRPr="00374DFA" w:rsidRDefault="00374DFA" w:rsidP="00374DFA">
            <w:pPr>
              <w:rPr>
                <w:sz w:val="18"/>
                <w:szCs w:val="18"/>
              </w:rPr>
            </w:pPr>
            <w:r w:rsidRPr="00374DFA">
              <w:rPr>
                <w:sz w:val="18"/>
                <w:szCs w:val="18"/>
              </w:rPr>
              <w:t>jennifer.flory@gcsu.edu</w:t>
            </w:r>
          </w:p>
        </w:tc>
        <w:tc>
          <w:tcPr>
            <w:tcW w:w="1148" w:type="dxa"/>
            <w:shd w:val="clear" w:color="auto" w:fill="F4F4F4"/>
            <w:tcMar>
              <w:top w:w="150" w:type="dxa"/>
              <w:left w:w="150" w:type="dxa"/>
              <w:bottom w:w="150" w:type="dxa"/>
              <w:right w:w="150" w:type="dxa"/>
            </w:tcMar>
            <w:vAlign w:val="center"/>
            <w:hideMark/>
          </w:tcPr>
          <w:p w14:paraId="09E2EC48" w14:textId="77777777" w:rsidR="00374DFA" w:rsidRPr="00374DFA" w:rsidRDefault="00374DFA" w:rsidP="00374DFA">
            <w:pPr>
              <w:rPr>
                <w:sz w:val="18"/>
                <w:szCs w:val="18"/>
              </w:rPr>
            </w:pPr>
            <w:r w:rsidRPr="00374DFA">
              <w:rPr>
                <w:sz w:val="18"/>
                <w:szCs w:val="18"/>
              </w:rPr>
              <w:t>FAPC</w:t>
            </w:r>
          </w:p>
        </w:tc>
        <w:tc>
          <w:tcPr>
            <w:tcW w:w="1530" w:type="dxa"/>
            <w:shd w:val="clear" w:color="auto" w:fill="F4F4F4"/>
            <w:tcMar>
              <w:top w:w="150" w:type="dxa"/>
              <w:left w:w="150" w:type="dxa"/>
              <w:bottom w:w="150" w:type="dxa"/>
              <w:right w:w="150" w:type="dxa"/>
            </w:tcMar>
            <w:vAlign w:val="center"/>
            <w:hideMark/>
          </w:tcPr>
          <w:p w14:paraId="618F4DF0" w14:textId="77777777" w:rsidR="00374DFA" w:rsidRPr="00374DFA" w:rsidRDefault="00374DFA" w:rsidP="00374DFA">
            <w:pPr>
              <w:rPr>
                <w:sz w:val="18"/>
                <w:szCs w:val="18"/>
              </w:rPr>
            </w:pPr>
            <w:r w:rsidRPr="00374DFA">
              <w:rPr>
                <w:sz w:val="18"/>
                <w:szCs w:val="18"/>
              </w:rPr>
              <w:t>Awaiting Action by Implementor</w:t>
            </w:r>
          </w:p>
        </w:tc>
        <w:tc>
          <w:tcPr>
            <w:tcW w:w="1170" w:type="dxa"/>
            <w:shd w:val="clear" w:color="auto" w:fill="F4F4F4"/>
            <w:tcMar>
              <w:top w:w="150" w:type="dxa"/>
              <w:left w:w="150" w:type="dxa"/>
              <w:bottom w:w="150" w:type="dxa"/>
              <w:right w:w="150" w:type="dxa"/>
            </w:tcMar>
            <w:vAlign w:val="center"/>
            <w:hideMark/>
          </w:tcPr>
          <w:p w14:paraId="51ADCA7A" w14:textId="77777777" w:rsidR="00374DFA" w:rsidRPr="00374DFA" w:rsidRDefault="00374DFA" w:rsidP="00FE2912">
            <w:pPr>
              <w:rPr>
                <w:sz w:val="18"/>
                <w:szCs w:val="18"/>
              </w:rPr>
            </w:pPr>
            <w:r w:rsidRPr="00374DFA">
              <w:rPr>
                <w:sz w:val="18"/>
                <w:szCs w:val="18"/>
              </w:rPr>
              <w:t>06/18/2025</w:t>
            </w:r>
          </w:p>
        </w:tc>
      </w:tr>
    </w:tbl>
    <w:p w14:paraId="18551A21" w14:textId="1CB1DF2F" w:rsidR="00374DFA" w:rsidRDefault="00FE2912" w:rsidP="00FE2912">
      <w:pPr>
        <w:spacing w:before="120"/>
        <w:rPr>
          <w:sz w:val="18"/>
          <w:szCs w:val="18"/>
        </w:rPr>
      </w:pPr>
      <w:r w:rsidRPr="00FE2912">
        <w:rPr>
          <w:sz w:val="18"/>
          <w:szCs w:val="18"/>
        </w:rPr>
        <w:t>Motion Text: To approve the proposed revisions to the Emeritus Title Policy as outlined in the supporting documents. Faculty will have 1 year prior to retirement and up to 3 years after to file for this recognition.</w:t>
      </w:r>
    </w:p>
    <w:p w14:paraId="1DEC006F" w14:textId="565EC709" w:rsidR="00FE2912" w:rsidRDefault="00FE2912" w:rsidP="00FE2912">
      <w:pPr>
        <w:spacing w:before="120"/>
      </w:pPr>
      <w:r>
        <w:object w:dxaOrig="1535" w:dyaOrig="993" w14:anchorId="365EF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7pt" o:ole="">
            <v:imagedata r:id="rId16" o:title=""/>
          </v:shape>
          <o:OLEObject Type="Embed" ProgID="Word.Document.12" ShapeID="_x0000_i1025" DrawAspect="Icon" ObjectID="_1816351801" r:id="rId17">
            <o:FieldCodes>\s</o:FieldCodes>
          </o:OLEObject>
        </w:object>
      </w:r>
      <w:r w:rsidRPr="00FE2912">
        <w:t xml:space="preserve"> </w:t>
      </w:r>
      <w:r>
        <w:object w:dxaOrig="1535" w:dyaOrig="993" w14:anchorId="5A44531B">
          <v:shape id="_x0000_i1026" type="#_x0000_t75" style="width:76.8pt;height:49.7pt" o:ole="">
            <v:imagedata r:id="rId18" o:title=""/>
          </v:shape>
          <o:OLEObject Type="Embed" ProgID="Word.Document.12" ShapeID="_x0000_i1026" DrawAspect="Icon" ObjectID="_1816351802" r:id="rId19">
            <o:FieldCodes>\s</o:FieldCodes>
          </o:OLEObject>
        </w:object>
      </w:r>
      <w:r w:rsidRPr="00FE2912">
        <w:t xml:space="preserve"> </w:t>
      </w:r>
      <w:r>
        <w:object w:dxaOrig="1535" w:dyaOrig="993" w14:anchorId="05B87372">
          <v:shape id="_x0000_i1027" type="#_x0000_t75" style="width:76.8pt;height:49.7pt" o:ole="">
            <v:imagedata r:id="rId20" o:title=""/>
          </v:shape>
          <o:OLEObject Type="Embed" ProgID="Word.Document.12" ShapeID="_x0000_i1027" DrawAspect="Icon" ObjectID="_1816351803" r:id="rId21">
            <o:FieldCodes>\s</o:FieldCodes>
          </o:OLEObject>
        </w:object>
      </w:r>
    </w:p>
    <w:p w14:paraId="39CCE1E1" w14:textId="77777777" w:rsidR="007F5653" w:rsidRPr="007F5653" w:rsidRDefault="007F5653" w:rsidP="007F5653">
      <w:pPr>
        <w:rPr>
          <w:sz w:val="18"/>
          <w:szCs w:val="18"/>
        </w:rPr>
      </w:pPr>
      <w:r w:rsidRPr="007F5653">
        <w:rPr>
          <w:sz w:val="18"/>
          <w:szCs w:val="18"/>
        </w:rPr>
        <w:t>The primary contention in revising the Faculty Emeritus Policy centered on the eligible application window. Below is a streamlined chronology of actions and decisions:</w:t>
      </w:r>
    </w:p>
    <w:p w14:paraId="040251A7" w14:textId="3286F427" w:rsidR="007F5653" w:rsidRPr="007F5653" w:rsidRDefault="007F5653" w:rsidP="007F5653">
      <w:pPr>
        <w:numPr>
          <w:ilvl w:val="0"/>
          <w:numId w:val="3"/>
        </w:numPr>
        <w:rPr>
          <w:sz w:val="18"/>
          <w:szCs w:val="18"/>
        </w:rPr>
      </w:pPr>
      <w:r w:rsidRPr="007F5653">
        <w:rPr>
          <w:sz w:val="18"/>
          <w:szCs w:val="18"/>
        </w:rPr>
        <w:t>2021 Policy</w:t>
      </w:r>
      <w:r>
        <w:rPr>
          <w:sz w:val="18"/>
          <w:szCs w:val="18"/>
        </w:rPr>
        <w:t xml:space="preserve">: </w:t>
      </w:r>
      <w:r w:rsidRPr="007F5653">
        <w:rPr>
          <w:sz w:val="18"/>
          <w:szCs w:val="18"/>
        </w:rPr>
        <w:t>The original policy allowed emerita/emeritus applications from 30 days before retirement through 30 days into the following semester. It also included a transitional clause permitting pre-policy retirees to petition their vice president for status.</w:t>
      </w:r>
    </w:p>
    <w:p w14:paraId="68033022" w14:textId="344E47CB" w:rsidR="007F5653" w:rsidRPr="007F5653" w:rsidRDefault="007F5653" w:rsidP="007F5653">
      <w:pPr>
        <w:numPr>
          <w:ilvl w:val="0"/>
          <w:numId w:val="3"/>
        </w:numPr>
        <w:rPr>
          <w:sz w:val="18"/>
          <w:szCs w:val="18"/>
        </w:rPr>
      </w:pPr>
      <w:r w:rsidRPr="007F5653">
        <w:rPr>
          <w:sz w:val="18"/>
          <w:szCs w:val="18"/>
        </w:rPr>
        <w:t>September 6, 2024</w:t>
      </w:r>
      <w:r>
        <w:rPr>
          <w:sz w:val="18"/>
          <w:szCs w:val="18"/>
        </w:rPr>
        <w:t xml:space="preserve">: </w:t>
      </w:r>
      <w:r w:rsidRPr="007F5653">
        <w:rPr>
          <w:sz w:val="18"/>
          <w:szCs w:val="18"/>
        </w:rPr>
        <w:t xml:space="preserve">FAPC unanimously voted to remove the transitional clause and eliminate all time limits. At the subsequent ECUS–SCC meeting, the </w:t>
      </w:r>
      <w:proofErr w:type="gramStart"/>
      <w:r w:rsidRPr="007F5653">
        <w:rPr>
          <w:sz w:val="18"/>
          <w:szCs w:val="18"/>
        </w:rPr>
        <w:t>Provost</w:t>
      </w:r>
      <w:proofErr w:type="gramEnd"/>
      <w:r w:rsidRPr="007F5653">
        <w:rPr>
          <w:sz w:val="18"/>
          <w:szCs w:val="18"/>
        </w:rPr>
        <w:t xml:space="preserve"> raised concerns about an open-ended window. After discussion, chairs agreed on a one-year-before to one-year-after retirement timeframe. An electronic FAPC vote (9/12–9/13) on that revision failed for lack of quorum.</w:t>
      </w:r>
    </w:p>
    <w:p w14:paraId="5D5A7898" w14:textId="17ED8E5E" w:rsidR="007F5653" w:rsidRPr="007F5653" w:rsidRDefault="007F5653" w:rsidP="007F5653">
      <w:pPr>
        <w:numPr>
          <w:ilvl w:val="0"/>
          <w:numId w:val="3"/>
        </w:numPr>
        <w:rPr>
          <w:sz w:val="18"/>
          <w:szCs w:val="18"/>
        </w:rPr>
      </w:pPr>
      <w:r w:rsidRPr="007F5653">
        <w:rPr>
          <w:sz w:val="18"/>
          <w:szCs w:val="18"/>
        </w:rPr>
        <w:t>October 4, 2024</w:t>
      </w:r>
      <w:r>
        <w:rPr>
          <w:sz w:val="18"/>
          <w:szCs w:val="18"/>
        </w:rPr>
        <w:t>: FAPC</w:t>
      </w:r>
      <w:r w:rsidRPr="007F5653">
        <w:rPr>
          <w:sz w:val="18"/>
          <w:szCs w:val="18"/>
        </w:rPr>
        <w:t xml:space="preserve"> explored extending the post-retirement window to five years. Rather than vote immediately, FAPC deferred to a follow-up ECUS–SCC discussion, which reinstated the one-year-before/one-year-after proposal. An electronic vote (10/7–10/9) narrowly approved that timeframe.</w:t>
      </w:r>
    </w:p>
    <w:p w14:paraId="72D13CCD" w14:textId="00AD5713" w:rsidR="007F5653" w:rsidRPr="007F5653" w:rsidRDefault="007F5653" w:rsidP="007F5653">
      <w:pPr>
        <w:numPr>
          <w:ilvl w:val="0"/>
          <w:numId w:val="3"/>
        </w:numPr>
        <w:spacing w:after="160"/>
        <w:rPr>
          <w:sz w:val="18"/>
          <w:szCs w:val="18"/>
        </w:rPr>
      </w:pPr>
      <w:r w:rsidRPr="007F5653">
        <w:rPr>
          <w:sz w:val="18"/>
          <w:szCs w:val="18"/>
        </w:rPr>
        <w:t>October 18, 2024</w:t>
      </w:r>
      <w:r>
        <w:rPr>
          <w:sz w:val="18"/>
          <w:szCs w:val="18"/>
        </w:rPr>
        <w:t>:</w:t>
      </w:r>
      <w:r w:rsidRPr="007F5653">
        <w:rPr>
          <w:sz w:val="18"/>
          <w:szCs w:val="18"/>
        </w:rPr>
        <w:t xml:space="preserve"> After robust debate</w:t>
      </w:r>
      <w:r>
        <w:rPr>
          <w:sz w:val="18"/>
          <w:szCs w:val="18"/>
        </w:rPr>
        <w:t xml:space="preserve"> at the University Senate meeting</w:t>
      </w:r>
      <w:r w:rsidRPr="007F5653">
        <w:rPr>
          <w:sz w:val="18"/>
          <w:szCs w:val="18"/>
        </w:rPr>
        <w:t>, senators amended the policy to span one year prior through three years after retirement. The amendment passed with three dissenting faculty votes; the final, amended policy then received unanimous voice-vote approval by eligible faculty senators.</w:t>
      </w:r>
    </w:p>
    <w:p w14:paraId="190AAC46" w14:textId="27CBB2DF" w:rsidR="00865BBB" w:rsidRDefault="00865BBB" w:rsidP="00865BBB">
      <w:pPr>
        <w:rPr>
          <w:b/>
          <w:bCs/>
          <w:sz w:val="20"/>
          <w:szCs w:val="20"/>
        </w:rPr>
      </w:pPr>
      <w:r>
        <w:rPr>
          <w:b/>
          <w:bCs/>
          <w:sz w:val="20"/>
          <w:szCs w:val="20"/>
        </w:rPr>
        <w:t>Other Significant Deliberation (Non-Motions):</w:t>
      </w:r>
    </w:p>
    <w:p w14:paraId="2E19B32B" w14:textId="77777777" w:rsidR="005071F3" w:rsidRPr="005071F3" w:rsidRDefault="005071F3" w:rsidP="005071F3">
      <w:pPr>
        <w:spacing w:after="120"/>
        <w:rPr>
          <w:iCs/>
          <w:sz w:val="18"/>
          <w:szCs w:val="18"/>
        </w:rPr>
      </w:pPr>
      <w:r w:rsidRPr="005071F3">
        <w:rPr>
          <w:iCs/>
          <w:sz w:val="18"/>
          <w:szCs w:val="18"/>
        </w:rPr>
        <w:t>The Faculty Affairs Policy Committee advanced from data collection to policy drafting across five core areas: compensation and workload, teaching evaluations, professional leave, emeritus status, and faculty well-being. Their work emphasized transparency, consistency, and data-driven decision-making, setting the stage for substantive updates in the next academic year.</w:t>
      </w:r>
    </w:p>
    <w:p w14:paraId="101B2DE9" w14:textId="77777777" w:rsidR="005071F3" w:rsidRPr="00E67B63" w:rsidRDefault="005071F3" w:rsidP="005071F3">
      <w:pPr>
        <w:rPr>
          <w:b/>
          <w:bCs/>
          <w:iCs/>
          <w:sz w:val="18"/>
          <w:szCs w:val="18"/>
        </w:rPr>
      </w:pPr>
      <w:r w:rsidRPr="00E67B63">
        <w:rPr>
          <w:b/>
          <w:bCs/>
          <w:iCs/>
          <w:sz w:val="18"/>
          <w:szCs w:val="18"/>
        </w:rPr>
        <w:t>Compensation &amp; Workload Data Gathering</w:t>
      </w:r>
    </w:p>
    <w:p w14:paraId="7DBD03DB" w14:textId="77777777" w:rsidR="005071F3" w:rsidRPr="00E67B63" w:rsidRDefault="005071F3" w:rsidP="005071F3">
      <w:pPr>
        <w:numPr>
          <w:ilvl w:val="0"/>
          <w:numId w:val="4"/>
        </w:numPr>
        <w:rPr>
          <w:iCs/>
          <w:sz w:val="18"/>
          <w:szCs w:val="18"/>
        </w:rPr>
      </w:pPr>
      <w:r w:rsidRPr="00E67B63">
        <w:rPr>
          <w:iCs/>
          <w:sz w:val="18"/>
          <w:szCs w:val="18"/>
        </w:rPr>
        <w:t>Launched a multi-phase benchmarking study covering part-time salaries, coordinator stipends, overload pay, and summer-salary provisions.</w:t>
      </w:r>
    </w:p>
    <w:p w14:paraId="5749DBF2" w14:textId="77777777" w:rsidR="005071F3" w:rsidRPr="00E67B63" w:rsidRDefault="005071F3" w:rsidP="005071F3">
      <w:pPr>
        <w:numPr>
          <w:ilvl w:val="0"/>
          <w:numId w:val="4"/>
        </w:numPr>
        <w:rPr>
          <w:iCs/>
          <w:sz w:val="18"/>
          <w:szCs w:val="18"/>
        </w:rPr>
      </w:pPr>
      <w:r w:rsidRPr="00E67B63">
        <w:rPr>
          <w:iCs/>
          <w:sz w:val="18"/>
          <w:szCs w:val="18"/>
        </w:rPr>
        <w:t>Secured Provost approval for detailed data requests in September; received preliminary figures by November and refined inquiries through February.</w:t>
      </w:r>
    </w:p>
    <w:p w14:paraId="4787C8A0" w14:textId="77777777" w:rsidR="005071F3" w:rsidRPr="00E67B63" w:rsidRDefault="005071F3" w:rsidP="005071F3">
      <w:pPr>
        <w:numPr>
          <w:ilvl w:val="0"/>
          <w:numId w:val="4"/>
        </w:numPr>
        <w:spacing w:after="120"/>
        <w:rPr>
          <w:iCs/>
          <w:sz w:val="18"/>
          <w:szCs w:val="18"/>
        </w:rPr>
      </w:pPr>
      <w:r w:rsidRPr="00E67B63">
        <w:rPr>
          <w:iCs/>
          <w:sz w:val="18"/>
          <w:szCs w:val="18"/>
        </w:rPr>
        <w:t>Expanded scope to include breakdowns of administrative support, service counts, and coordinator duties.</w:t>
      </w:r>
    </w:p>
    <w:p w14:paraId="3F2889AD" w14:textId="77777777" w:rsidR="005071F3" w:rsidRPr="00E67B63" w:rsidRDefault="005071F3" w:rsidP="005071F3">
      <w:pPr>
        <w:rPr>
          <w:b/>
          <w:bCs/>
          <w:iCs/>
          <w:sz w:val="18"/>
          <w:szCs w:val="18"/>
        </w:rPr>
      </w:pPr>
      <w:r w:rsidRPr="00E67B63">
        <w:rPr>
          <w:b/>
          <w:bCs/>
          <w:iCs/>
          <w:sz w:val="18"/>
          <w:szCs w:val="18"/>
        </w:rPr>
        <w:t>Teaching &amp; Course Evaluation</w:t>
      </w:r>
    </w:p>
    <w:p w14:paraId="11368CBD" w14:textId="77777777" w:rsidR="005071F3" w:rsidRPr="00E67B63" w:rsidRDefault="005071F3" w:rsidP="005071F3">
      <w:pPr>
        <w:numPr>
          <w:ilvl w:val="0"/>
          <w:numId w:val="5"/>
        </w:numPr>
        <w:rPr>
          <w:iCs/>
          <w:sz w:val="18"/>
          <w:szCs w:val="18"/>
        </w:rPr>
      </w:pPr>
      <w:r w:rsidRPr="00E67B63">
        <w:rPr>
          <w:iCs/>
          <w:sz w:val="18"/>
          <w:szCs w:val="18"/>
        </w:rPr>
        <w:t>Addressed unintended gaps in the updated SRIS policy for co-taught, lab-supervised, and cross-listed courses.</w:t>
      </w:r>
    </w:p>
    <w:p w14:paraId="74C1EECC" w14:textId="77777777" w:rsidR="005071F3" w:rsidRPr="00E67B63" w:rsidRDefault="005071F3" w:rsidP="005071F3">
      <w:pPr>
        <w:numPr>
          <w:ilvl w:val="0"/>
          <w:numId w:val="5"/>
        </w:numPr>
        <w:rPr>
          <w:iCs/>
          <w:sz w:val="18"/>
          <w:szCs w:val="18"/>
        </w:rPr>
      </w:pPr>
      <w:r w:rsidRPr="00E67B63">
        <w:rPr>
          <w:iCs/>
          <w:sz w:val="18"/>
          <w:szCs w:val="18"/>
        </w:rPr>
        <w:t>Recommended Banner flags for special course types and collaboration with administrators to ensure proper survey assignments.</w:t>
      </w:r>
    </w:p>
    <w:p w14:paraId="4EF2F488" w14:textId="77777777" w:rsidR="005071F3" w:rsidRPr="00E67B63" w:rsidRDefault="005071F3" w:rsidP="005071F3">
      <w:pPr>
        <w:numPr>
          <w:ilvl w:val="0"/>
          <w:numId w:val="5"/>
        </w:numPr>
        <w:spacing w:after="120"/>
        <w:rPr>
          <w:iCs/>
          <w:sz w:val="18"/>
          <w:szCs w:val="18"/>
        </w:rPr>
      </w:pPr>
      <w:r w:rsidRPr="00E67B63">
        <w:rPr>
          <w:iCs/>
          <w:sz w:val="18"/>
          <w:szCs w:val="18"/>
        </w:rPr>
        <w:t>Explored embedding CTL resource links into evaluation policies and realigning tenure-evaluation criteria with the Board of Regents’ five-category model.</w:t>
      </w:r>
    </w:p>
    <w:p w14:paraId="599BD8F3" w14:textId="77777777" w:rsidR="005071F3" w:rsidRPr="00E67B63" w:rsidRDefault="005071F3" w:rsidP="005071F3">
      <w:pPr>
        <w:rPr>
          <w:b/>
          <w:bCs/>
          <w:iCs/>
          <w:sz w:val="18"/>
          <w:szCs w:val="18"/>
        </w:rPr>
      </w:pPr>
      <w:r w:rsidRPr="00E67B63">
        <w:rPr>
          <w:b/>
          <w:bCs/>
          <w:iCs/>
          <w:sz w:val="18"/>
          <w:szCs w:val="18"/>
        </w:rPr>
        <w:t>Professional Leave Policy &amp; Rubric Development</w:t>
      </w:r>
    </w:p>
    <w:p w14:paraId="4ADED06C" w14:textId="77777777" w:rsidR="005071F3" w:rsidRPr="00E67B63" w:rsidRDefault="005071F3" w:rsidP="005071F3">
      <w:pPr>
        <w:numPr>
          <w:ilvl w:val="0"/>
          <w:numId w:val="6"/>
        </w:numPr>
        <w:rPr>
          <w:iCs/>
          <w:sz w:val="18"/>
          <w:szCs w:val="18"/>
        </w:rPr>
      </w:pPr>
      <w:r w:rsidRPr="00E67B63">
        <w:rPr>
          <w:iCs/>
          <w:sz w:val="18"/>
          <w:szCs w:val="18"/>
        </w:rPr>
        <w:t>Identified discrepancies between legacy and current application forms and the A&amp;S review rubric.</w:t>
      </w:r>
    </w:p>
    <w:p w14:paraId="60EE9985" w14:textId="77777777" w:rsidR="005071F3" w:rsidRPr="00E67B63" w:rsidRDefault="005071F3" w:rsidP="005071F3">
      <w:pPr>
        <w:numPr>
          <w:ilvl w:val="0"/>
          <w:numId w:val="6"/>
        </w:numPr>
        <w:rPr>
          <w:iCs/>
          <w:sz w:val="18"/>
          <w:szCs w:val="18"/>
        </w:rPr>
      </w:pPr>
      <w:r w:rsidRPr="00E67B63">
        <w:rPr>
          <w:iCs/>
          <w:sz w:val="18"/>
          <w:szCs w:val="18"/>
        </w:rPr>
        <w:lastRenderedPageBreak/>
        <w:t>Advised articulating university-level standards first, then realigning college rubrics and sharing them with applicants.</w:t>
      </w:r>
    </w:p>
    <w:p w14:paraId="3C847ECC" w14:textId="77777777" w:rsidR="005071F3" w:rsidRPr="00E67B63" w:rsidRDefault="005071F3" w:rsidP="005071F3">
      <w:pPr>
        <w:numPr>
          <w:ilvl w:val="0"/>
          <w:numId w:val="6"/>
        </w:numPr>
        <w:spacing w:after="120"/>
        <w:rPr>
          <w:iCs/>
          <w:sz w:val="18"/>
          <w:szCs w:val="18"/>
        </w:rPr>
      </w:pPr>
      <w:r w:rsidRPr="00E67B63">
        <w:rPr>
          <w:iCs/>
          <w:sz w:val="18"/>
          <w:szCs w:val="18"/>
        </w:rPr>
        <w:t>Will convene a cross-college ad hoc panel in Fall 2025 to define terms, set quotas or balanced allocations, and craft a unified rubric for FY 2026 proposals.</w:t>
      </w:r>
    </w:p>
    <w:p w14:paraId="42013F23" w14:textId="77777777" w:rsidR="005071F3" w:rsidRPr="00E67B63" w:rsidRDefault="005071F3" w:rsidP="005071F3">
      <w:pPr>
        <w:rPr>
          <w:b/>
          <w:bCs/>
          <w:iCs/>
          <w:sz w:val="18"/>
          <w:szCs w:val="18"/>
        </w:rPr>
      </w:pPr>
      <w:r w:rsidRPr="00E67B63">
        <w:rPr>
          <w:b/>
          <w:bCs/>
          <w:iCs/>
          <w:sz w:val="18"/>
          <w:szCs w:val="18"/>
        </w:rPr>
        <w:t>Faculty Emeritus Status Policy</w:t>
      </w:r>
    </w:p>
    <w:p w14:paraId="44DFF230" w14:textId="77777777" w:rsidR="005071F3" w:rsidRPr="00E67B63" w:rsidRDefault="005071F3" w:rsidP="005071F3">
      <w:pPr>
        <w:numPr>
          <w:ilvl w:val="0"/>
          <w:numId w:val="7"/>
        </w:numPr>
        <w:rPr>
          <w:iCs/>
          <w:sz w:val="18"/>
          <w:szCs w:val="18"/>
        </w:rPr>
      </w:pPr>
      <w:r w:rsidRPr="00E67B63">
        <w:rPr>
          <w:iCs/>
          <w:sz w:val="18"/>
          <w:szCs w:val="18"/>
        </w:rPr>
        <w:t>Debated eligibility windows ranging from one to five years post-retirement and compared peer-institution benchmarks.</w:t>
      </w:r>
    </w:p>
    <w:p w14:paraId="5E5AF86C" w14:textId="77777777" w:rsidR="005071F3" w:rsidRPr="00E67B63" w:rsidRDefault="005071F3" w:rsidP="005071F3">
      <w:pPr>
        <w:numPr>
          <w:ilvl w:val="0"/>
          <w:numId w:val="7"/>
        </w:numPr>
        <w:rPr>
          <w:iCs/>
          <w:sz w:val="18"/>
          <w:szCs w:val="18"/>
        </w:rPr>
      </w:pPr>
      <w:r w:rsidRPr="00E67B63">
        <w:rPr>
          <w:iCs/>
          <w:sz w:val="18"/>
          <w:szCs w:val="18"/>
        </w:rPr>
        <w:t>Recommended a one-year-before to three-</w:t>
      </w:r>
      <w:proofErr w:type="gramStart"/>
      <w:r w:rsidRPr="00E67B63">
        <w:rPr>
          <w:iCs/>
          <w:sz w:val="18"/>
          <w:szCs w:val="18"/>
        </w:rPr>
        <w:t>years</w:t>
      </w:r>
      <w:proofErr w:type="gramEnd"/>
      <w:r w:rsidRPr="00E67B63">
        <w:rPr>
          <w:iCs/>
          <w:sz w:val="18"/>
          <w:szCs w:val="18"/>
        </w:rPr>
        <w:t>-after retirement window, which the University Senate amended and approved in November.</w:t>
      </w:r>
    </w:p>
    <w:p w14:paraId="62F93108" w14:textId="77777777" w:rsidR="005071F3" w:rsidRPr="00E67B63" w:rsidRDefault="005071F3" w:rsidP="005071F3">
      <w:pPr>
        <w:numPr>
          <w:ilvl w:val="0"/>
          <w:numId w:val="7"/>
        </w:numPr>
        <w:spacing w:after="120"/>
        <w:rPr>
          <w:iCs/>
          <w:sz w:val="18"/>
          <w:szCs w:val="18"/>
        </w:rPr>
      </w:pPr>
      <w:r w:rsidRPr="00E67B63">
        <w:rPr>
          <w:iCs/>
          <w:sz w:val="18"/>
          <w:szCs w:val="18"/>
        </w:rPr>
        <w:t>Policy now awaits implementor action.</w:t>
      </w:r>
    </w:p>
    <w:p w14:paraId="0CDAEC08" w14:textId="77777777" w:rsidR="005071F3" w:rsidRPr="00E67B63" w:rsidRDefault="005071F3" w:rsidP="005071F3">
      <w:pPr>
        <w:rPr>
          <w:b/>
          <w:bCs/>
          <w:iCs/>
          <w:sz w:val="18"/>
          <w:szCs w:val="18"/>
        </w:rPr>
      </w:pPr>
      <w:r w:rsidRPr="00E67B63">
        <w:rPr>
          <w:b/>
          <w:bCs/>
          <w:iCs/>
          <w:sz w:val="18"/>
          <w:szCs w:val="18"/>
        </w:rPr>
        <w:t>Faculty Attendance &amp; Regalia at University Events</w:t>
      </w:r>
    </w:p>
    <w:p w14:paraId="459DA681" w14:textId="77777777" w:rsidR="005071F3" w:rsidRPr="00E67B63" w:rsidRDefault="005071F3" w:rsidP="005071F3">
      <w:pPr>
        <w:numPr>
          <w:ilvl w:val="0"/>
          <w:numId w:val="8"/>
        </w:numPr>
        <w:rPr>
          <w:iCs/>
          <w:sz w:val="18"/>
          <w:szCs w:val="18"/>
        </w:rPr>
      </w:pPr>
      <w:r w:rsidRPr="00E67B63">
        <w:rPr>
          <w:iCs/>
          <w:sz w:val="18"/>
          <w:szCs w:val="18"/>
        </w:rPr>
        <w:t>Reviewed health and safety concerns at mandatory events (e.g., graduation, convocation).</w:t>
      </w:r>
    </w:p>
    <w:p w14:paraId="4C097429" w14:textId="77777777" w:rsidR="005071F3" w:rsidRPr="00E67B63" w:rsidRDefault="005071F3" w:rsidP="005071F3">
      <w:pPr>
        <w:numPr>
          <w:ilvl w:val="0"/>
          <w:numId w:val="8"/>
        </w:numPr>
        <w:rPr>
          <w:iCs/>
          <w:sz w:val="18"/>
          <w:szCs w:val="18"/>
        </w:rPr>
      </w:pPr>
      <w:r w:rsidRPr="00E67B63">
        <w:rPr>
          <w:iCs/>
          <w:sz w:val="18"/>
          <w:szCs w:val="18"/>
        </w:rPr>
        <w:t>Proposed shorter ceremonies, increased chair spacing, climate-controlled waiting areas, and hybrid or rescheduled formats.</w:t>
      </w:r>
    </w:p>
    <w:p w14:paraId="21BA25CF" w14:textId="77777777" w:rsidR="005071F3" w:rsidRPr="00E67B63" w:rsidRDefault="005071F3" w:rsidP="005071F3">
      <w:pPr>
        <w:numPr>
          <w:ilvl w:val="0"/>
          <w:numId w:val="8"/>
        </w:numPr>
        <w:spacing w:after="120"/>
        <w:rPr>
          <w:iCs/>
          <w:sz w:val="18"/>
          <w:szCs w:val="18"/>
        </w:rPr>
      </w:pPr>
      <w:r w:rsidRPr="00E67B63">
        <w:rPr>
          <w:iCs/>
          <w:sz w:val="18"/>
          <w:szCs w:val="18"/>
        </w:rPr>
        <w:t xml:space="preserve">Encouraged formal </w:t>
      </w:r>
      <w:proofErr w:type="gramStart"/>
      <w:r w:rsidRPr="00E67B63">
        <w:rPr>
          <w:iCs/>
          <w:sz w:val="18"/>
          <w:szCs w:val="18"/>
        </w:rPr>
        <w:t>accommodations</w:t>
      </w:r>
      <w:proofErr w:type="gramEnd"/>
      <w:r w:rsidRPr="00E67B63">
        <w:rPr>
          <w:iCs/>
          <w:sz w:val="18"/>
          <w:szCs w:val="18"/>
        </w:rPr>
        <w:t xml:space="preserve"> for medical concerns; Provost tasked the Convocation planning committee with detailing accommodation procedures.</w:t>
      </w:r>
    </w:p>
    <w:p w14:paraId="7D4932AA" w14:textId="77777777" w:rsidR="005071F3" w:rsidRPr="00E67B63" w:rsidRDefault="005071F3" w:rsidP="005071F3">
      <w:pPr>
        <w:rPr>
          <w:b/>
          <w:bCs/>
          <w:iCs/>
          <w:sz w:val="18"/>
          <w:szCs w:val="18"/>
        </w:rPr>
      </w:pPr>
      <w:r w:rsidRPr="00E67B63">
        <w:rPr>
          <w:b/>
          <w:bCs/>
          <w:iCs/>
          <w:sz w:val="18"/>
          <w:szCs w:val="18"/>
        </w:rPr>
        <w:t>Modified Operations &amp; Committee Processes</w:t>
      </w:r>
    </w:p>
    <w:p w14:paraId="7C2993FF" w14:textId="77777777" w:rsidR="005071F3" w:rsidRPr="00E67B63" w:rsidRDefault="005071F3" w:rsidP="005071F3">
      <w:pPr>
        <w:numPr>
          <w:ilvl w:val="0"/>
          <w:numId w:val="9"/>
        </w:numPr>
        <w:rPr>
          <w:iCs/>
          <w:sz w:val="18"/>
          <w:szCs w:val="18"/>
        </w:rPr>
      </w:pPr>
      <w:r w:rsidRPr="00E67B63">
        <w:rPr>
          <w:iCs/>
          <w:sz w:val="18"/>
          <w:szCs w:val="18"/>
        </w:rPr>
        <w:t>Collaborated with HR representatives to distill procedural details into a concise policy and retain governance provisions in the committee handbook.</w:t>
      </w:r>
    </w:p>
    <w:p w14:paraId="72875A6C" w14:textId="77777777" w:rsidR="005071F3" w:rsidRDefault="005071F3" w:rsidP="005071F3">
      <w:pPr>
        <w:numPr>
          <w:ilvl w:val="0"/>
          <w:numId w:val="9"/>
        </w:numPr>
        <w:rPr>
          <w:iCs/>
          <w:sz w:val="18"/>
          <w:szCs w:val="18"/>
        </w:rPr>
      </w:pPr>
      <w:r w:rsidRPr="00E67B63">
        <w:rPr>
          <w:iCs/>
          <w:sz w:val="18"/>
          <w:szCs w:val="18"/>
        </w:rPr>
        <w:t>Tracked proposed changes in the Faculty Evaluation Policy and circulated drafts to Academic Affairs and ECUS.</w:t>
      </w:r>
    </w:p>
    <w:p w14:paraId="7AC5C4C8" w14:textId="233CE76F" w:rsidR="005071F3" w:rsidRPr="005071F3" w:rsidRDefault="005071F3" w:rsidP="005071F3">
      <w:pPr>
        <w:numPr>
          <w:ilvl w:val="0"/>
          <w:numId w:val="9"/>
        </w:numPr>
        <w:spacing w:after="160"/>
        <w:rPr>
          <w:iCs/>
          <w:sz w:val="18"/>
          <w:szCs w:val="18"/>
        </w:rPr>
      </w:pPr>
      <w:r w:rsidRPr="00E67B63">
        <w:rPr>
          <w:iCs/>
          <w:sz w:val="18"/>
          <w:szCs w:val="18"/>
        </w:rPr>
        <w:t>Plans to review and vote on the revised policy in Fall 2025.</w:t>
      </w:r>
    </w:p>
    <w:p w14:paraId="06699136" w14:textId="11FEFF43" w:rsidR="00865BBB" w:rsidRPr="008B1F8B" w:rsidRDefault="00865BBB" w:rsidP="008B1F8B">
      <w:pPr>
        <w:spacing w:after="160"/>
      </w:pPr>
      <w:r>
        <w:rPr>
          <w:b/>
          <w:bCs/>
          <w:sz w:val="20"/>
          <w:szCs w:val="20"/>
        </w:rPr>
        <w:t>Ad hoc committees and other groups:</w:t>
      </w:r>
      <w:r w:rsidR="008B1F8B">
        <w:t xml:space="preserve"> </w:t>
      </w:r>
      <w:r w:rsidR="008B1F8B" w:rsidRPr="008B1F8B">
        <w:rPr>
          <w:sz w:val="18"/>
          <w:szCs w:val="18"/>
        </w:rPr>
        <w:t>Teaching Effectiveness Ad Hoc Committe</w:t>
      </w:r>
      <w:r w:rsidR="008B1F8B">
        <w:rPr>
          <w:sz w:val="18"/>
          <w:szCs w:val="18"/>
        </w:rPr>
        <w:t>e (see above)</w:t>
      </w:r>
    </w:p>
    <w:p w14:paraId="1AF4795F" w14:textId="77777777" w:rsidR="00865BBB" w:rsidRDefault="00865BBB" w:rsidP="00865BBB">
      <w:r>
        <w:rPr>
          <w:b/>
          <w:bCs/>
          <w:sz w:val="20"/>
          <w:szCs w:val="20"/>
        </w:rPr>
        <w:t>Committee Reflections:</w:t>
      </w:r>
    </w:p>
    <w:p w14:paraId="77B5394C" w14:textId="77777777" w:rsidR="00370C9A" w:rsidRPr="00D0717D" w:rsidRDefault="00370C9A" w:rsidP="00370C9A">
      <w:pPr>
        <w:spacing w:after="120"/>
        <w:rPr>
          <w:sz w:val="18"/>
          <w:szCs w:val="18"/>
        </w:rPr>
      </w:pPr>
      <w:r w:rsidRPr="00D0717D">
        <w:rPr>
          <w:sz w:val="18"/>
          <w:szCs w:val="18"/>
        </w:rPr>
        <w:t>This reflection evaluates what went well, what encountered challenges, and how the committee’s activities aligned with its charge to review and recommend policies affecting faculty welfare.</w:t>
      </w:r>
    </w:p>
    <w:p w14:paraId="61AE2E95" w14:textId="77777777" w:rsidR="00370C9A" w:rsidRPr="00D0717D" w:rsidRDefault="00370C9A" w:rsidP="00370C9A">
      <w:pPr>
        <w:rPr>
          <w:b/>
          <w:bCs/>
          <w:sz w:val="18"/>
          <w:szCs w:val="18"/>
        </w:rPr>
      </w:pPr>
      <w:r w:rsidRPr="00D0717D">
        <w:rPr>
          <w:b/>
          <w:bCs/>
          <w:sz w:val="18"/>
          <w:szCs w:val="18"/>
        </w:rPr>
        <w:t>What Worked Well</w:t>
      </w:r>
    </w:p>
    <w:p w14:paraId="4AFC632A" w14:textId="77777777" w:rsidR="00370C9A" w:rsidRPr="00D0717D" w:rsidRDefault="00370C9A" w:rsidP="00370C9A">
      <w:pPr>
        <w:pStyle w:val="ListParagraph"/>
        <w:numPr>
          <w:ilvl w:val="0"/>
          <w:numId w:val="10"/>
        </w:numPr>
        <w:spacing w:after="120"/>
        <w:rPr>
          <w:sz w:val="18"/>
          <w:szCs w:val="18"/>
        </w:rPr>
      </w:pPr>
      <w:r w:rsidRPr="00D0717D">
        <w:rPr>
          <w:sz w:val="18"/>
          <w:szCs w:val="18"/>
        </w:rPr>
        <w:t>Cross-Unit Collaboration: Partnered effectively with Academic Affairs, CTL, the Registrar, and ECUS to refine teaching-evaluation resources, flag complex course types in Banner, and coordinate policy revisions.</w:t>
      </w:r>
    </w:p>
    <w:p w14:paraId="5D1129EF" w14:textId="36EECD45" w:rsidR="00370C9A" w:rsidRPr="00D0717D" w:rsidRDefault="00370C9A" w:rsidP="00D15602">
      <w:pPr>
        <w:pStyle w:val="ListParagraph"/>
        <w:numPr>
          <w:ilvl w:val="0"/>
          <w:numId w:val="10"/>
        </w:numPr>
        <w:spacing w:after="120"/>
        <w:rPr>
          <w:sz w:val="18"/>
          <w:szCs w:val="18"/>
        </w:rPr>
      </w:pPr>
      <w:r w:rsidRPr="00D0717D">
        <w:rPr>
          <w:sz w:val="18"/>
          <w:szCs w:val="18"/>
        </w:rPr>
        <w:t>Targeted Policy Win: Guided the University Senate to amend and approve the Emeritus status timeline (one year prior through three years after retirement), fulfilling a major committee objective.</w:t>
      </w:r>
    </w:p>
    <w:p w14:paraId="4F129CFB" w14:textId="77777777" w:rsidR="00370C9A" w:rsidRPr="00D0717D" w:rsidRDefault="00370C9A" w:rsidP="00370C9A">
      <w:pPr>
        <w:rPr>
          <w:b/>
          <w:bCs/>
          <w:sz w:val="18"/>
          <w:szCs w:val="18"/>
        </w:rPr>
      </w:pPr>
      <w:r w:rsidRPr="00D0717D">
        <w:rPr>
          <w:b/>
          <w:bCs/>
          <w:sz w:val="18"/>
          <w:szCs w:val="18"/>
        </w:rPr>
        <w:t>What Did Not Work So Well</w:t>
      </w:r>
    </w:p>
    <w:p w14:paraId="2499C77D" w14:textId="748B0A93" w:rsidR="00370C9A" w:rsidRPr="00D0717D" w:rsidRDefault="00370C9A" w:rsidP="00370C9A">
      <w:pPr>
        <w:pStyle w:val="ListParagraph"/>
        <w:numPr>
          <w:ilvl w:val="0"/>
          <w:numId w:val="11"/>
        </w:numPr>
        <w:rPr>
          <w:sz w:val="18"/>
          <w:szCs w:val="18"/>
        </w:rPr>
      </w:pPr>
      <w:r w:rsidRPr="00D0717D">
        <w:rPr>
          <w:sz w:val="18"/>
          <w:szCs w:val="18"/>
        </w:rPr>
        <w:t>Data-collection: Unable to secure data from Academic Affairs for multi-phase study to benchmark and refine faculty compensation and workload structures.</w:t>
      </w:r>
    </w:p>
    <w:p w14:paraId="4EDD4DEB" w14:textId="77777777" w:rsidR="00370C9A" w:rsidRPr="00D0717D" w:rsidRDefault="00370C9A" w:rsidP="00370C9A">
      <w:pPr>
        <w:pStyle w:val="ListParagraph"/>
        <w:numPr>
          <w:ilvl w:val="0"/>
          <w:numId w:val="11"/>
        </w:numPr>
        <w:rPr>
          <w:sz w:val="18"/>
          <w:szCs w:val="18"/>
        </w:rPr>
      </w:pPr>
      <w:r w:rsidRPr="00D0717D">
        <w:rPr>
          <w:sz w:val="18"/>
          <w:szCs w:val="18"/>
        </w:rPr>
        <w:t>Quorum &amp; Voting Delays: Electronic votes on the Emeritus policy and other motions fell short of quorum, prolonging decision cycles.</w:t>
      </w:r>
    </w:p>
    <w:p w14:paraId="551C34A2" w14:textId="4E817670" w:rsidR="00370C9A" w:rsidRPr="00D0717D" w:rsidRDefault="00370C9A" w:rsidP="00CF04EF">
      <w:pPr>
        <w:pStyle w:val="ListParagraph"/>
        <w:numPr>
          <w:ilvl w:val="0"/>
          <w:numId w:val="11"/>
        </w:numPr>
        <w:rPr>
          <w:sz w:val="18"/>
          <w:szCs w:val="18"/>
        </w:rPr>
      </w:pPr>
      <w:r w:rsidRPr="00D0717D">
        <w:rPr>
          <w:sz w:val="18"/>
          <w:szCs w:val="18"/>
        </w:rPr>
        <w:t>Scope Creep in Ad Hoc Committee: The Teaching Effectiveness Ad Hoc Committee initially diverged from its charge, requiring FAPC intervention to realign objectives and deadlines.</w:t>
      </w:r>
    </w:p>
    <w:p w14:paraId="45253B9E" w14:textId="77777777" w:rsidR="00D0717D" w:rsidRPr="00D0717D" w:rsidRDefault="00D0717D" w:rsidP="00D0717D">
      <w:pPr>
        <w:pStyle w:val="ListParagraph"/>
        <w:numPr>
          <w:ilvl w:val="0"/>
          <w:numId w:val="11"/>
        </w:numPr>
        <w:rPr>
          <w:sz w:val="18"/>
          <w:szCs w:val="18"/>
        </w:rPr>
      </w:pPr>
      <w:r w:rsidRPr="00D0717D">
        <w:rPr>
          <w:sz w:val="18"/>
          <w:szCs w:val="18"/>
        </w:rPr>
        <w:t xml:space="preserve">Deferred PPPM Audit: The comprehensive audit of the PPPM was postponed </w:t>
      </w:r>
      <w:proofErr w:type="gramStart"/>
      <w:r w:rsidRPr="00D0717D">
        <w:rPr>
          <w:sz w:val="18"/>
          <w:szCs w:val="18"/>
        </w:rPr>
        <w:t>to address</w:t>
      </w:r>
      <w:proofErr w:type="gramEnd"/>
      <w:r w:rsidRPr="00D0717D">
        <w:rPr>
          <w:sz w:val="18"/>
          <w:szCs w:val="18"/>
        </w:rPr>
        <w:t xml:space="preserve"> </w:t>
      </w:r>
      <w:proofErr w:type="gramStart"/>
      <w:r w:rsidRPr="00D0717D">
        <w:rPr>
          <w:sz w:val="18"/>
          <w:szCs w:val="18"/>
        </w:rPr>
        <w:t>higher-priority</w:t>
      </w:r>
      <w:proofErr w:type="gramEnd"/>
      <w:r w:rsidRPr="00D0717D">
        <w:rPr>
          <w:sz w:val="18"/>
          <w:szCs w:val="18"/>
        </w:rPr>
        <w:t xml:space="preserve"> issues and remains outstanding.</w:t>
      </w:r>
    </w:p>
    <w:p w14:paraId="6493126F" w14:textId="0B407B27" w:rsidR="00D0717D" w:rsidRPr="00D0717D" w:rsidRDefault="00D0717D" w:rsidP="00D0717D">
      <w:pPr>
        <w:pStyle w:val="ListParagraph"/>
        <w:numPr>
          <w:ilvl w:val="0"/>
          <w:numId w:val="11"/>
        </w:numPr>
        <w:spacing w:after="120"/>
        <w:rPr>
          <w:sz w:val="18"/>
          <w:szCs w:val="18"/>
        </w:rPr>
      </w:pPr>
      <w:r w:rsidRPr="00D0717D">
        <w:rPr>
          <w:sz w:val="18"/>
          <w:szCs w:val="18"/>
        </w:rPr>
        <w:t>Protracted Professional Leave Rubric Finalization: Long discussions about and research into Professional Leave did not lead to a solution by year’s end, delaying clarity for prospective applicants.</w:t>
      </w:r>
    </w:p>
    <w:p w14:paraId="6760D8B2" w14:textId="48E3A2E8" w:rsidR="00D0717D" w:rsidRPr="00D0717D" w:rsidRDefault="00D0717D" w:rsidP="00D0717D">
      <w:pPr>
        <w:rPr>
          <w:sz w:val="18"/>
          <w:szCs w:val="18"/>
        </w:rPr>
      </w:pPr>
      <w:r w:rsidRPr="00D0717D">
        <w:rPr>
          <w:b/>
          <w:bCs/>
          <w:sz w:val="18"/>
          <w:szCs w:val="18"/>
        </w:rPr>
        <w:t>Time Spent</w:t>
      </w:r>
    </w:p>
    <w:p w14:paraId="49EFED7C" w14:textId="7B54E642" w:rsidR="00D0717D" w:rsidRPr="00D0717D" w:rsidRDefault="00D0717D" w:rsidP="00D0717D">
      <w:pPr>
        <w:pStyle w:val="ListParagraph"/>
        <w:numPr>
          <w:ilvl w:val="0"/>
          <w:numId w:val="12"/>
        </w:numPr>
        <w:spacing w:after="120"/>
        <w:rPr>
          <w:sz w:val="18"/>
          <w:szCs w:val="18"/>
        </w:rPr>
      </w:pPr>
      <w:r w:rsidRPr="00D0717D">
        <w:rPr>
          <w:sz w:val="18"/>
          <w:szCs w:val="18"/>
        </w:rPr>
        <w:t>Workload &amp; Compensation: approximately 30 %</w:t>
      </w:r>
    </w:p>
    <w:p w14:paraId="74712EF0" w14:textId="67900542" w:rsidR="00D0717D" w:rsidRPr="00D0717D" w:rsidRDefault="00D0717D" w:rsidP="00D0717D">
      <w:pPr>
        <w:pStyle w:val="ListParagraph"/>
        <w:numPr>
          <w:ilvl w:val="0"/>
          <w:numId w:val="12"/>
        </w:numPr>
        <w:spacing w:after="120"/>
        <w:rPr>
          <w:sz w:val="18"/>
          <w:szCs w:val="18"/>
        </w:rPr>
      </w:pPr>
      <w:r w:rsidRPr="00D0717D">
        <w:rPr>
          <w:sz w:val="18"/>
          <w:szCs w:val="18"/>
        </w:rPr>
        <w:t>Teaching Evaluation &amp; Academic Freedom: 25%</w:t>
      </w:r>
    </w:p>
    <w:p w14:paraId="3682FD13" w14:textId="33045750" w:rsidR="00D0717D" w:rsidRPr="00D0717D" w:rsidRDefault="00D0717D" w:rsidP="00D0717D">
      <w:pPr>
        <w:pStyle w:val="ListParagraph"/>
        <w:numPr>
          <w:ilvl w:val="0"/>
          <w:numId w:val="12"/>
        </w:numPr>
        <w:spacing w:after="120"/>
        <w:rPr>
          <w:sz w:val="18"/>
          <w:szCs w:val="18"/>
        </w:rPr>
      </w:pPr>
      <w:r w:rsidRPr="00D0717D">
        <w:rPr>
          <w:sz w:val="18"/>
          <w:szCs w:val="18"/>
        </w:rPr>
        <w:t>Recognition &amp; Development (Professional Leave): 20%</w:t>
      </w:r>
    </w:p>
    <w:p w14:paraId="4FC1AF66" w14:textId="3F4F0388" w:rsidR="00D0717D" w:rsidRPr="00D0717D" w:rsidRDefault="00D0717D" w:rsidP="00D0717D">
      <w:pPr>
        <w:pStyle w:val="ListParagraph"/>
        <w:numPr>
          <w:ilvl w:val="0"/>
          <w:numId w:val="12"/>
        </w:numPr>
        <w:spacing w:after="120"/>
        <w:rPr>
          <w:sz w:val="18"/>
          <w:szCs w:val="18"/>
        </w:rPr>
      </w:pPr>
      <w:r w:rsidRPr="00D0717D">
        <w:rPr>
          <w:sz w:val="18"/>
          <w:szCs w:val="18"/>
        </w:rPr>
        <w:t>Rights &amp; Recognitions (Emeritus Status): 15%</w:t>
      </w:r>
    </w:p>
    <w:p w14:paraId="29B2A903" w14:textId="18D82CDA" w:rsidR="00D0717D" w:rsidRPr="00D0717D" w:rsidRDefault="00D0717D" w:rsidP="00D0717D">
      <w:pPr>
        <w:pStyle w:val="ListParagraph"/>
        <w:numPr>
          <w:ilvl w:val="0"/>
          <w:numId w:val="12"/>
        </w:numPr>
        <w:spacing w:after="120"/>
        <w:rPr>
          <w:sz w:val="18"/>
          <w:szCs w:val="18"/>
        </w:rPr>
      </w:pPr>
      <w:r w:rsidRPr="00D0717D">
        <w:rPr>
          <w:sz w:val="18"/>
          <w:szCs w:val="18"/>
        </w:rPr>
        <w:t>Procedural Advice &amp; Committee Operations: 10%</w:t>
      </w:r>
    </w:p>
    <w:p w14:paraId="5293DDA2" w14:textId="77777777" w:rsidR="00D0717D" w:rsidRPr="00D0717D" w:rsidRDefault="00D0717D" w:rsidP="00D0717D">
      <w:pPr>
        <w:spacing w:after="160"/>
        <w:rPr>
          <w:sz w:val="18"/>
          <w:szCs w:val="18"/>
        </w:rPr>
      </w:pPr>
      <w:r w:rsidRPr="00D0717D">
        <w:rPr>
          <w:sz w:val="18"/>
          <w:szCs w:val="18"/>
        </w:rPr>
        <w:t>This distribution reflects FAPC’s commitment to data-driven policy reviews, enhanced evaluation practices, transparent leave processes, and bolstered faculty welfare—fully aligned with its charge for 2024–25.</w:t>
      </w:r>
    </w:p>
    <w:p w14:paraId="2E9FA784" w14:textId="77777777" w:rsidR="00865BBB" w:rsidRDefault="00865BBB" w:rsidP="00D0717D">
      <w:pPr>
        <w:rPr>
          <w:b/>
          <w:bCs/>
          <w:sz w:val="20"/>
          <w:szCs w:val="20"/>
        </w:rPr>
      </w:pPr>
      <w:r>
        <w:rPr>
          <w:b/>
          <w:bCs/>
          <w:sz w:val="20"/>
          <w:szCs w:val="20"/>
        </w:rPr>
        <w:t>Committee Recommendations:</w:t>
      </w:r>
    </w:p>
    <w:p w14:paraId="5670134D" w14:textId="4AC3009C" w:rsidR="00FC351D" w:rsidRPr="00FC351D" w:rsidRDefault="00FC351D" w:rsidP="00FC351D">
      <w:pPr>
        <w:rPr>
          <w:b/>
          <w:bCs/>
          <w:sz w:val="18"/>
          <w:szCs w:val="18"/>
        </w:rPr>
      </w:pPr>
      <w:r w:rsidRPr="00FC351D">
        <w:rPr>
          <w:b/>
          <w:bCs/>
          <w:sz w:val="18"/>
          <w:szCs w:val="18"/>
        </w:rPr>
        <w:t>Work Carried Forward</w:t>
      </w:r>
    </w:p>
    <w:p w14:paraId="6CE0FA26" w14:textId="7611F6C2" w:rsidR="00A97486" w:rsidRDefault="00A97486" w:rsidP="00FC351D">
      <w:pPr>
        <w:numPr>
          <w:ilvl w:val="0"/>
          <w:numId w:val="14"/>
        </w:numPr>
        <w:rPr>
          <w:sz w:val="18"/>
          <w:szCs w:val="18"/>
        </w:rPr>
      </w:pPr>
      <w:r w:rsidRPr="00A97486">
        <w:rPr>
          <w:sz w:val="18"/>
          <w:szCs w:val="18"/>
        </w:rPr>
        <w:t xml:space="preserve">Continue discussions to realign tenure and promotion criteria with the Board of Regents’ five-category model by reviewing </w:t>
      </w:r>
      <w:r>
        <w:rPr>
          <w:sz w:val="18"/>
          <w:szCs w:val="18"/>
        </w:rPr>
        <w:t>GCSU’s</w:t>
      </w:r>
      <w:r w:rsidRPr="00A97486">
        <w:rPr>
          <w:sz w:val="18"/>
          <w:szCs w:val="18"/>
        </w:rPr>
        <w:t xml:space="preserve"> more stringent requirements—matched by only one other USG campus. Half of USG institutions (including Georgia Tech) omit any “noteworthiness” standard, and two (including UGA) apply it in only two of the five areas. Draft and recommend to the University Senate updated evaluation criteria that fully integrate USG expectations and guard against inflationary pressures on faculty assessments.</w:t>
      </w:r>
    </w:p>
    <w:p w14:paraId="1CF73B00" w14:textId="2BD386A4" w:rsidR="00FC351D" w:rsidRPr="00FC351D" w:rsidRDefault="00FC351D" w:rsidP="00FC351D">
      <w:pPr>
        <w:numPr>
          <w:ilvl w:val="0"/>
          <w:numId w:val="14"/>
        </w:numPr>
        <w:rPr>
          <w:sz w:val="18"/>
          <w:szCs w:val="18"/>
        </w:rPr>
      </w:pPr>
      <w:r>
        <w:rPr>
          <w:sz w:val="18"/>
          <w:szCs w:val="18"/>
        </w:rPr>
        <w:t>Continue</w:t>
      </w:r>
      <w:r w:rsidRPr="00FC351D">
        <w:rPr>
          <w:sz w:val="18"/>
          <w:szCs w:val="18"/>
        </w:rPr>
        <w:t xml:space="preserve"> </w:t>
      </w:r>
      <w:r w:rsidR="001E0CB1">
        <w:rPr>
          <w:sz w:val="18"/>
          <w:szCs w:val="18"/>
        </w:rPr>
        <w:t xml:space="preserve">and finalize </w:t>
      </w:r>
      <w:r w:rsidRPr="00FC351D">
        <w:rPr>
          <w:sz w:val="18"/>
          <w:szCs w:val="18"/>
        </w:rPr>
        <w:t>multi-phase benchmarking study covering part-time salaries, coordinator stipends, overload pay, summer-salary provisions</w:t>
      </w:r>
      <w:r>
        <w:rPr>
          <w:sz w:val="18"/>
          <w:szCs w:val="18"/>
        </w:rPr>
        <w:t xml:space="preserve">, </w:t>
      </w:r>
      <w:r w:rsidRPr="00FC351D">
        <w:rPr>
          <w:sz w:val="18"/>
          <w:szCs w:val="18"/>
        </w:rPr>
        <w:t>breakdowns of administrative support, service counts, and coordinator duties</w:t>
      </w:r>
      <w:r>
        <w:rPr>
          <w:sz w:val="18"/>
          <w:szCs w:val="18"/>
        </w:rPr>
        <w:t>.</w:t>
      </w:r>
    </w:p>
    <w:p w14:paraId="24A15381" w14:textId="5B58A891" w:rsidR="00FC351D" w:rsidRPr="00FC351D" w:rsidRDefault="00FC351D" w:rsidP="00FC351D">
      <w:pPr>
        <w:numPr>
          <w:ilvl w:val="0"/>
          <w:numId w:val="14"/>
        </w:numPr>
        <w:rPr>
          <w:sz w:val="18"/>
          <w:szCs w:val="18"/>
        </w:rPr>
      </w:pPr>
      <w:r w:rsidRPr="00FC351D">
        <w:rPr>
          <w:sz w:val="18"/>
          <w:szCs w:val="18"/>
        </w:rPr>
        <w:lastRenderedPageBreak/>
        <w:t xml:space="preserve">Finalize and approve the </w:t>
      </w:r>
      <w:r>
        <w:rPr>
          <w:sz w:val="18"/>
          <w:szCs w:val="18"/>
        </w:rPr>
        <w:t xml:space="preserve">university-level </w:t>
      </w:r>
      <w:r w:rsidRPr="00FC351D">
        <w:rPr>
          <w:sz w:val="18"/>
          <w:szCs w:val="18"/>
        </w:rPr>
        <w:t>Professional Leave rubric</w:t>
      </w:r>
      <w:r>
        <w:rPr>
          <w:sz w:val="18"/>
          <w:szCs w:val="18"/>
        </w:rPr>
        <w:t>, send to colleges for alignment,</w:t>
      </w:r>
      <w:r w:rsidRPr="00FC351D">
        <w:rPr>
          <w:sz w:val="18"/>
          <w:szCs w:val="18"/>
        </w:rPr>
        <w:t xml:space="preserve"> </w:t>
      </w:r>
      <w:r>
        <w:rPr>
          <w:sz w:val="18"/>
          <w:szCs w:val="18"/>
        </w:rPr>
        <w:t xml:space="preserve">and </w:t>
      </w:r>
      <w:r w:rsidRPr="00FC351D">
        <w:rPr>
          <w:sz w:val="18"/>
          <w:szCs w:val="18"/>
        </w:rPr>
        <w:t>publicize clear guidelines for applicants.</w:t>
      </w:r>
    </w:p>
    <w:p w14:paraId="5C0D503B" w14:textId="77777777" w:rsidR="00FC351D" w:rsidRPr="00FC351D" w:rsidRDefault="00FC351D" w:rsidP="00A97486">
      <w:pPr>
        <w:numPr>
          <w:ilvl w:val="0"/>
          <w:numId w:val="14"/>
        </w:numPr>
        <w:spacing w:after="120"/>
        <w:rPr>
          <w:sz w:val="18"/>
          <w:szCs w:val="18"/>
        </w:rPr>
      </w:pPr>
      <w:r w:rsidRPr="00FC351D">
        <w:rPr>
          <w:sz w:val="18"/>
          <w:szCs w:val="18"/>
        </w:rPr>
        <w:t>Complete the comprehensive audit of the PPPM, identify redundancies, and propose streamlined governance revisions.</w:t>
      </w:r>
    </w:p>
    <w:p w14:paraId="0E7030AE" w14:textId="77777777" w:rsidR="00FC351D" w:rsidRPr="00FC351D" w:rsidRDefault="00FC351D" w:rsidP="00FC351D">
      <w:pPr>
        <w:rPr>
          <w:b/>
          <w:bCs/>
          <w:sz w:val="18"/>
          <w:szCs w:val="18"/>
        </w:rPr>
      </w:pPr>
      <w:r w:rsidRPr="00FC351D">
        <w:rPr>
          <w:b/>
          <w:bCs/>
          <w:sz w:val="18"/>
          <w:szCs w:val="18"/>
        </w:rPr>
        <w:t>Issues to Consider</w:t>
      </w:r>
    </w:p>
    <w:p w14:paraId="13589975" w14:textId="77777777" w:rsidR="001E0CB1" w:rsidRPr="001E0CB1" w:rsidRDefault="001E0CB1" w:rsidP="001E0CB1">
      <w:pPr>
        <w:numPr>
          <w:ilvl w:val="0"/>
          <w:numId w:val="13"/>
        </w:numPr>
        <w:rPr>
          <w:sz w:val="18"/>
          <w:szCs w:val="18"/>
        </w:rPr>
      </w:pPr>
      <w:r w:rsidRPr="001E0CB1">
        <w:rPr>
          <w:sz w:val="18"/>
          <w:szCs w:val="18"/>
        </w:rPr>
        <w:t>To align with the USG policy statement below, initiate exploratory discussions aimed at creating a transparent framework for recognizing and rewarding faculty with positive post-tenure review outcomes—whether through formal recognition, merit pay, promotion, educational leave, or other incentives.</w:t>
      </w:r>
    </w:p>
    <w:p w14:paraId="6247F981" w14:textId="62608A87" w:rsidR="00FC351D" w:rsidRPr="00FC351D" w:rsidRDefault="001E0CB1" w:rsidP="001E0CB1">
      <w:pPr>
        <w:numPr>
          <w:ilvl w:val="1"/>
          <w:numId w:val="13"/>
        </w:numPr>
        <w:rPr>
          <w:sz w:val="18"/>
          <w:szCs w:val="18"/>
        </w:rPr>
      </w:pPr>
      <w:r w:rsidRPr="001E0CB1">
        <w:rPr>
          <w:sz w:val="18"/>
          <w:szCs w:val="18"/>
        </w:rPr>
        <w:t xml:space="preserve">“The results of a positive post-tenure review should be linked to recognition or reward. Faculty members who are performing at noteworthy levels should receive recognition for their achievements. Each institution will prescribe how the review results will be related to possible rewards such as formal recognition, merit pay, promotion, educational leave, etc.” </w:t>
      </w:r>
      <w:r w:rsidR="00FC351D">
        <w:rPr>
          <w:sz w:val="18"/>
          <w:szCs w:val="18"/>
        </w:rPr>
        <w:t>“</w:t>
      </w:r>
      <w:r w:rsidR="00FC351D" w:rsidRPr="00FC351D">
        <w:rPr>
          <w:sz w:val="18"/>
          <w:szCs w:val="18"/>
        </w:rPr>
        <w:t>The results of a positive post-tenure review should be linked to recognition or reward. Faculty members who are performing at noteworthy levels should receive recognition for their achievements. Each institution will prescribe how the review results will be related to possible rewards such as formal recognition, merit pay, promotion, educational leave, etc.</w:t>
      </w:r>
      <w:r w:rsidR="00FC351D">
        <w:rPr>
          <w:sz w:val="18"/>
          <w:szCs w:val="18"/>
        </w:rPr>
        <w:t>”</w:t>
      </w:r>
    </w:p>
    <w:p w14:paraId="0815AA26" w14:textId="18DCCD5D" w:rsidR="00E54021" w:rsidRDefault="00E54021" w:rsidP="00FC351D">
      <w:pPr>
        <w:numPr>
          <w:ilvl w:val="0"/>
          <w:numId w:val="13"/>
        </w:numPr>
        <w:rPr>
          <w:sz w:val="18"/>
          <w:szCs w:val="18"/>
        </w:rPr>
      </w:pPr>
      <w:r>
        <w:rPr>
          <w:sz w:val="18"/>
          <w:szCs w:val="18"/>
        </w:rPr>
        <w:t xml:space="preserve">Draft </w:t>
      </w:r>
      <w:r w:rsidRPr="00E54021">
        <w:rPr>
          <w:sz w:val="18"/>
          <w:szCs w:val="18"/>
        </w:rPr>
        <w:t>a policy for department chairs to get training on how to evaluate colleagues in their department on their teaching, what that looks like, how it can be accomplished, what tools are available, etc.</w:t>
      </w:r>
    </w:p>
    <w:p w14:paraId="613FEC5A" w14:textId="0641097D" w:rsidR="00FC351D" w:rsidRPr="00FC351D" w:rsidRDefault="00FC351D" w:rsidP="00FC351D">
      <w:pPr>
        <w:numPr>
          <w:ilvl w:val="0"/>
          <w:numId w:val="13"/>
        </w:numPr>
        <w:rPr>
          <w:sz w:val="18"/>
          <w:szCs w:val="18"/>
        </w:rPr>
      </w:pPr>
      <w:r w:rsidRPr="00FC351D">
        <w:rPr>
          <w:sz w:val="18"/>
          <w:szCs w:val="18"/>
        </w:rPr>
        <w:t>Commission a detailed retention analysis for contingent faculty to address gaps in contract renewal and support.</w:t>
      </w:r>
    </w:p>
    <w:p w14:paraId="65E1DA52" w14:textId="23BC66C5" w:rsidR="00D0717D" w:rsidRPr="001E0CB1" w:rsidRDefault="00FC351D" w:rsidP="00A97486">
      <w:pPr>
        <w:numPr>
          <w:ilvl w:val="0"/>
          <w:numId w:val="13"/>
        </w:numPr>
        <w:spacing w:after="160"/>
        <w:rPr>
          <w:sz w:val="18"/>
          <w:szCs w:val="18"/>
        </w:rPr>
      </w:pPr>
      <w:r w:rsidRPr="00FC351D">
        <w:rPr>
          <w:sz w:val="18"/>
          <w:szCs w:val="18"/>
        </w:rPr>
        <w:t>Launch a Provost-led retention study for limited-term lecturers to inform recruitment and support strategies.</w:t>
      </w:r>
      <w:r>
        <w:rPr>
          <w:sz w:val="18"/>
          <w:szCs w:val="18"/>
        </w:rPr>
        <w:t xml:space="preserve"> </w:t>
      </w:r>
    </w:p>
    <w:p w14:paraId="09903DDD" w14:textId="77777777" w:rsidR="00865BBB" w:rsidRDefault="00865BBB" w:rsidP="00865BBB">
      <w:r>
        <w:rPr>
          <w:b/>
          <w:bCs/>
          <w:sz w:val="20"/>
          <w:szCs w:val="20"/>
        </w:rPr>
        <w:t>Recommend items for consideration at the governance retreat:</w:t>
      </w:r>
    </w:p>
    <w:p w14:paraId="63B3EC13" w14:textId="139FC23B" w:rsidR="00DF4F57" w:rsidRDefault="00DF4F57" w:rsidP="001C7E9B">
      <w:pPr>
        <w:pStyle w:val="ListParagraph"/>
        <w:numPr>
          <w:ilvl w:val="0"/>
          <w:numId w:val="21"/>
        </w:numPr>
        <w:rPr>
          <w:sz w:val="18"/>
          <w:szCs w:val="18"/>
        </w:rPr>
      </w:pPr>
      <w:r>
        <w:rPr>
          <w:sz w:val="18"/>
          <w:szCs w:val="18"/>
        </w:rPr>
        <w:t>Introduce chair Jennifer Flory and vice-chair Sabrina Hom.</w:t>
      </w:r>
    </w:p>
    <w:p w14:paraId="623C4195" w14:textId="129B1CFE" w:rsidR="001C7E9B" w:rsidRDefault="001C7E9B" w:rsidP="001C7E9B">
      <w:pPr>
        <w:pStyle w:val="ListParagraph"/>
        <w:numPr>
          <w:ilvl w:val="0"/>
          <w:numId w:val="21"/>
        </w:numPr>
        <w:rPr>
          <w:sz w:val="18"/>
          <w:szCs w:val="18"/>
        </w:rPr>
      </w:pPr>
      <w:r w:rsidRPr="001C7E9B">
        <w:rPr>
          <w:sz w:val="18"/>
          <w:szCs w:val="18"/>
        </w:rPr>
        <w:t>Review office of secretary (secretary will take notes that can later be archived).</w:t>
      </w:r>
    </w:p>
    <w:p w14:paraId="1A28DC2F" w14:textId="23DC4895" w:rsidR="001C7E9B" w:rsidRDefault="001C7E9B" w:rsidP="001C7E9B">
      <w:pPr>
        <w:pStyle w:val="ListParagraph"/>
        <w:numPr>
          <w:ilvl w:val="0"/>
          <w:numId w:val="21"/>
        </w:numPr>
        <w:rPr>
          <w:sz w:val="18"/>
          <w:szCs w:val="18"/>
        </w:rPr>
      </w:pPr>
      <w:r w:rsidRPr="001C7E9B">
        <w:rPr>
          <w:sz w:val="18"/>
          <w:szCs w:val="18"/>
        </w:rPr>
        <w:t>Evaluate and Prioritize Committee Recommendations</w:t>
      </w:r>
      <w:r>
        <w:rPr>
          <w:sz w:val="18"/>
          <w:szCs w:val="18"/>
        </w:rPr>
        <w:t>.</w:t>
      </w:r>
    </w:p>
    <w:p w14:paraId="371011CF" w14:textId="54D93167" w:rsidR="001C7E9B" w:rsidRDefault="001C7E9B" w:rsidP="001C7E9B">
      <w:pPr>
        <w:pStyle w:val="ListParagraph"/>
        <w:numPr>
          <w:ilvl w:val="1"/>
          <w:numId w:val="21"/>
        </w:numPr>
        <w:rPr>
          <w:sz w:val="18"/>
          <w:szCs w:val="18"/>
        </w:rPr>
      </w:pPr>
      <w:r w:rsidRPr="001C7E9B">
        <w:rPr>
          <w:sz w:val="18"/>
          <w:szCs w:val="18"/>
        </w:rPr>
        <w:t>Review all 2024–2025 committee recommendations</w:t>
      </w:r>
      <w:r>
        <w:rPr>
          <w:sz w:val="18"/>
          <w:szCs w:val="18"/>
        </w:rPr>
        <w:t>.</w:t>
      </w:r>
    </w:p>
    <w:p w14:paraId="1B9C6A31" w14:textId="2B491BE1" w:rsidR="001C7E9B" w:rsidRDefault="001C7E9B" w:rsidP="001C7E9B">
      <w:pPr>
        <w:pStyle w:val="ListParagraph"/>
        <w:numPr>
          <w:ilvl w:val="1"/>
          <w:numId w:val="21"/>
        </w:numPr>
        <w:rPr>
          <w:sz w:val="18"/>
          <w:szCs w:val="18"/>
        </w:rPr>
      </w:pPr>
      <w:r w:rsidRPr="001C7E9B">
        <w:rPr>
          <w:sz w:val="18"/>
          <w:szCs w:val="18"/>
        </w:rPr>
        <w:t>Prioritize top three initiatives for the 2025–2026 term</w:t>
      </w:r>
      <w:r>
        <w:rPr>
          <w:sz w:val="18"/>
          <w:szCs w:val="18"/>
        </w:rPr>
        <w:t>.</w:t>
      </w:r>
    </w:p>
    <w:p w14:paraId="581077AF" w14:textId="77777777" w:rsidR="001C7E9B" w:rsidRDefault="001C7E9B" w:rsidP="001C7E9B">
      <w:pPr>
        <w:pStyle w:val="ListParagraph"/>
        <w:numPr>
          <w:ilvl w:val="0"/>
          <w:numId w:val="21"/>
        </w:numPr>
        <w:rPr>
          <w:sz w:val="18"/>
          <w:szCs w:val="18"/>
        </w:rPr>
      </w:pPr>
      <w:r w:rsidRPr="001C7E9B">
        <w:rPr>
          <w:sz w:val="18"/>
          <w:szCs w:val="18"/>
        </w:rPr>
        <w:t>Identify Emerging Oversight and Policy Needs: Brainstorm new issues or review challenges that surfaced during 2024–2025 term.</w:t>
      </w:r>
    </w:p>
    <w:p w14:paraId="04084C98" w14:textId="4A946461" w:rsidR="001C7E9B" w:rsidRDefault="001C7E9B" w:rsidP="001C7E9B">
      <w:pPr>
        <w:pStyle w:val="ListParagraph"/>
        <w:numPr>
          <w:ilvl w:val="0"/>
          <w:numId w:val="21"/>
        </w:numPr>
        <w:rPr>
          <w:sz w:val="18"/>
          <w:szCs w:val="18"/>
        </w:rPr>
      </w:pPr>
      <w:r w:rsidRPr="001C7E9B">
        <w:rPr>
          <w:sz w:val="18"/>
          <w:szCs w:val="18"/>
        </w:rPr>
        <w:t>Establish Committee Operating Procedures for 2025–202</w:t>
      </w:r>
      <w:r>
        <w:rPr>
          <w:sz w:val="18"/>
          <w:szCs w:val="18"/>
        </w:rPr>
        <w:t>6 term.</w:t>
      </w:r>
    </w:p>
    <w:p w14:paraId="61750B4B" w14:textId="05CDF68A" w:rsidR="001C7E9B" w:rsidRDefault="001C7E9B" w:rsidP="001C7E9B">
      <w:pPr>
        <w:pStyle w:val="ListParagraph"/>
        <w:numPr>
          <w:ilvl w:val="1"/>
          <w:numId w:val="21"/>
        </w:numPr>
        <w:rPr>
          <w:sz w:val="18"/>
          <w:szCs w:val="18"/>
        </w:rPr>
      </w:pPr>
      <w:r w:rsidRPr="001C7E9B">
        <w:rPr>
          <w:sz w:val="18"/>
          <w:szCs w:val="18"/>
        </w:rPr>
        <w:t xml:space="preserve">Review last year’s operating procedures document (see </w:t>
      </w:r>
      <w:r>
        <w:rPr>
          <w:sz w:val="18"/>
          <w:szCs w:val="18"/>
        </w:rPr>
        <w:t>below</w:t>
      </w:r>
      <w:r w:rsidRPr="001C7E9B">
        <w:rPr>
          <w:sz w:val="18"/>
          <w:szCs w:val="18"/>
        </w:rPr>
        <w:t>)</w:t>
      </w:r>
      <w:r>
        <w:rPr>
          <w:sz w:val="18"/>
          <w:szCs w:val="18"/>
        </w:rPr>
        <w:t>.</w:t>
      </w:r>
    </w:p>
    <w:p w14:paraId="0F862A1B" w14:textId="6BFA0D32" w:rsidR="001C7E9B" w:rsidRPr="001C7E9B" w:rsidRDefault="001C7E9B" w:rsidP="001C7E9B">
      <w:pPr>
        <w:pStyle w:val="ListParagraph"/>
        <w:numPr>
          <w:ilvl w:val="1"/>
          <w:numId w:val="21"/>
        </w:numPr>
        <w:spacing w:after="160"/>
        <w:rPr>
          <w:sz w:val="18"/>
          <w:szCs w:val="18"/>
        </w:rPr>
      </w:pPr>
      <w:r>
        <w:rPr>
          <w:sz w:val="18"/>
          <w:szCs w:val="18"/>
        </w:rPr>
        <w:t xml:space="preserve">Discuss and vote on </w:t>
      </w:r>
      <w:r w:rsidRPr="001C7E9B">
        <w:rPr>
          <w:sz w:val="18"/>
          <w:szCs w:val="18"/>
        </w:rPr>
        <w:t>meeting location</w:t>
      </w:r>
      <w:r>
        <w:rPr>
          <w:sz w:val="18"/>
          <w:szCs w:val="18"/>
        </w:rPr>
        <w:t>.</w:t>
      </w:r>
    </w:p>
    <w:p w14:paraId="4A79D85F" w14:textId="5CB10E80" w:rsidR="00F22337" w:rsidRPr="00F22337" w:rsidRDefault="00F22337" w:rsidP="001C7E9B">
      <w:pPr>
        <w:rPr>
          <w:b/>
          <w:bCs/>
          <w:sz w:val="20"/>
          <w:szCs w:val="20"/>
        </w:rPr>
      </w:pPr>
      <w:r w:rsidRPr="00F22337">
        <w:rPr>
          <w:b/>
          <w:bCs/>
          <w:sz w:val="20"/>
          <w:szCs w:val="20"/>
        </w:rPr>
        <w:t xml:space="preserve">Appendix: </w:t>
      </w:r>
      <w:r>
        <w:rPr>
          <w:b/>
          <w:bCs/>
          <w:sz w:val="20"/>
          <w:szCs w:val="20"/>
        </w:rPr>
        <w:t>Committee Operating Procedures</w:t>
      </w:r>
    </w:p>
    <w:p w14:paraId="3F6EA3A1" w14:textId="4E7C06AE" w:rsidR="00F22337" w:rsidRDefault="00A97486" w:rsidP="00F22337">
      <w:pPr>
        <w:rPr>
          <w:i/>
          <w:iCs/>
          <w:sz w:val="16"/>
          <w:szCs w:val="16"/>
        </w:rPr>
      </w:pPr>
      <w:r>
        <w:object w:dxaOrig="1535" w:dyaOrig="993" w14:anchorId="564FCD18">
          <v:shape id="_x0000_i1028" type="#_x0000_t75" style="width:76.8pt;height:49.7pt" o:ole="">
            <v:imagedata r:id="rId22" o:title=""/>
          </v:shape>
          <o:OLEObject Type="Embed" ProgID="Word.Document.12" ShapeID="_x0000_i1028" DrawAspect="Icon" ObjectID="_1816351804" r:id="rId23">
            <o:FieldCodes>\s</o:FieldCodes>
          </o:OLEObject>
        </w:object>
      </w:r>
    </w:p>
    <w:p w14:paraId="12883FA4" w14:textId="77777777" w:rsidR="00B74BA1" w:rsidRDefault="00B74BA1" w:rsidP="00865BBB"/>
    <w:p w14:paraId="0FFE3C7D" w14:textId="77777777" w:rsidR="00F22337" w:rsidRPr="00B74BA1" w:rsidRDefault="00B74BA1" w:rsidP="00B74BA1">
      <w:pPr>
        <w:tabs>
          <w:tab w:val="left" w:pos="7140"/>
        </w:tabs>
      </w:pPr>
      <w:r>
        <w:tab/>
      </w:r>
    </w:p>
    <w:sectPr w:rsidR="00F22337" w:rsidRPr="00B74BA1" w:rsidSect="005844EC">
      <w:footerReference w:type="defaul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2E2A" w14:textId="77777777" w:rsidR="002E468E" w:rsidRDefault="002E468E" w:rsidP="005844EC">
      <w:r>
        <w:separator/>
      </w:r>
    </w:p>
  </w:endnote>
  <w:endnote w:type="continuationSeparator" w:id="0">
    <w:p w14:paraId="267FB3FD" w14:textId="77777777" w:rsidR="002E468E" w:rsidRDefault="002E468E"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3BF6" w14:textId="78D31BA9" w:rsidR="005844EC" w:rsidRPr="005844EC" w:rsidRDefault="005844EC" w:rsidP="005844EC">
    <w:pPr>
      <w:pStyle w:val="Footer"/>
      <w:tabs>
        <w:tab w:val="clear" w:pos="8640"/>
        <w:tab w:val="right" w:pos="9900"/>
      </w:tabs>
      <w:rPr>
        <w:sz w:val="16"/>
        <w:szCs w:val="16"/>
      </w:rPr>
    </w:pPr>
    <w:r w:rsidRPr="00E2539B">
      <w:rPr>
        <w:rStyle w:val="PageNumber"/>
        <w:sz w:val="16"/>
        <w:szCs w:val="16"/>
      </w:rPr>
      <w:t>(</w:t>
    </w:r>
    <w:r w:rsidR="00E2539B">
      <w:rPr>
        <w:rStyle w:val="PageNumber"/>
        <w:sz w:val="16"/>
        <w:szCs w:val="16"/>
      </w:rPr>
      <w:t>FAPC</w:t>
    </w:r>
    <w:r w:rsidRPr="00E2539B">
      <w:rPr>
        <w:rStyle w:val="PageNumber"/>
        <w:sz w:val="16"/>
        <w:szCs w:val="16"/>
      </w:rPr>
      <w:t xml:space="preserve"> Annual Report</w:t>
    </w:r>
    <w:r w:rsidR="00E2539B">
      <w:rPr>
        <w:rStyle w:val="PageNumber"/>
        <w:sz w:val="16"/>
        <w:szCs w:val="16"/>
      </w:rPr>
      <w:t xml:space="preserve"> 2024-2025</w:t>
    </w:r>
    <w:r w:rsidRPr="00E2539B">
      <w:rPr>
        <w:rStyle w:val="PageNumber"/>
        <w:sz w:val="16"/>
        <w:szCs w:val="16"/>
      </w:rPr>
      <w:t>)</w:t>
    </w:r>
    <w:r w:rsidRPr="005844EC">
      <w:rPr>
        <w:rStyle w:val="PageNumber"/>
        <w:sz w:val="16"/>
        <w:szCs w:val="16"/>
      </w:rPr>
      <w:tab/>
    </w:r>
    <w:r w:rsidRPr="005844EC">
      <w:rPr>
        <w:sz w:val="16"/>
        <w:szCs w:val="16"/>
      </w:rPr>
      <w:tab/>
      <w:t xml:space="preserve">Page </w:t>
    </w:r>
    <w:r w:rsidRPr="005844EC">
      <w:rPr>
        <w:sz w:val="16"/>
        <w:szCs w:val="16"/>
      </w:rPr>
      <w:fldChar w:fldCharType="begin"/>
    </w:r>
    <w:r w:rsidRPr="005844EC">
      <w:rPr>
        <w:sz w:val="16"/>
        <w:szCs w:val="16"/>
      </w:rPr>
      <w:instrText xml:space="preserve"> PAGE  \* Arabic  \* MERGEFORMAT </w:instrText>
    </w:r>
    <w:r w:rsidRPr="005844EC">
      <w:rPr>
        <w:sz w:val="16"/>
        <w:szCs w:val="16"/>
      </w:rPr>
      <w:fldChar w:fldCharType="separate"/>
    </w:r>
    <w:r w:rsidR="00445DDC">
      <w:rPr>
        <w:noProof/>
        <w:sz w:val="16"/>
        <w:szCs w:val="16"/>
      </w:rPr>
      <w:t>1</w:t>
    </w:r>
    <w:r w:rsidRPr="005844EC">
      <w:rPr>
        <w:sz w:val="16"/>
        <w:szCs w:val="16"/>
      </w:rPr>
      <w:fldChar w:fldCharType="end"/>
    </w:r>
    <w:r w:rsidRPr="005844EC">
      <w:rPr>
        <w:sz w:val="16"/>
        <w:szCs w:val="16"/>
      </w:rPr>
      <w:t xml:space="preserve"> of </w:t>
    </w:r>
    <w:r w:rsidRPr="005844EC">
      <w:rPr>
        <w:sz w:val="16"/>
        <w:szCs w:val="16"/>
      </w:rPr>
      <w:fldChar w:fldCharType="begin"/>
    </w:r>
    <w:r w:rsidRPr="005844EC">
      <w:rPr>
        <w:sz w:val="16"/>
        <w:szCs w:val="16"/>
      </w:rPr>
      <w:instrText xml:space="preserve"> NUMPAGES  \* Arabic  \* MERGEFORMAT </w:instrText>
    </w:r>
    <w:r w:rsidRPr="005844EC">
      <w:rPr>
        <w:sz w:val="16"/>
        <w:szCs w:val="16"/>
      </w:rPr>
      <w:fldChar w:fldCharType="separate"/>
    </w:r>
    <w:r w:rsidR="00445DDC">
      <w:rPr>
        <w:noProof/>
        <w:sz w:val="16"/>
        <w:szCs w:val="16"/>
      </w:rPr>
      <w:t>1</w:t>
    </w:r>
    <w:r w:rsidRPr="005844EC">
      <w:rPr>
        <w:sz w:val="16"/>
        <w:szCs w:val="16"/>
      </w:rPr>
      <w:fldChar w:fldCharType="end"/>
    </w:r>
  </w:p>
  <w:p w14:paraId="46A11F50" w14:textId="77777777" w:rsidR="005844EC" w:rsidRDefault="0058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368B" w14:textId="77777777" w:rsidR="002E468E" w:rsidRDefault="002E468E" w:rsidP="005844EC">
      <w:r>
        <w:separator/>
      </w:r>
    </w:p>
  </w:footnote>
  <w:footnote w:type="continuationSeparator" w:id="0">
    <w:p w14:paraId="7DCA6397" w14:textId="77777777" w:rsidR="002E468E" w:rsidRDefault="002E468E" w:rsidP="0058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BE9"/>
    <w:multiLevelType w:val="multilevel"/>
    <w:tmpl w:val="6836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39CE"/>
    <w:multiLevelType w:val="multilevel"/>
    <w:tmpl w:val="B39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31A80"/>
    <w:multiLevelType w:val="multilevel"/>
    <w:tmpl w:val="CB0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529E"/>
    <w:multiLevelType w:val="hybridMultilevel"/>
    <w:tmpl w:val="20D4BE64"/>
    <w:lvl w:ilvl="0" w:tplc="0409000F">
      <w:start w:val="1"/>
      <w:numFmt w:val="decimal"/>
      <w:lvlText w:val="%1."/>
      <w:lvlJc w:val="left"/>
      <w:pPr>
        <w:ind w:left="720" w:hanging="360"/>
      </w:pPr>
      <w:rPr>
        <w:rFonts w:hint="default"/>
      </w:rPr>
    </w:lvl>
    <w:lvl w:ilvl="1" w:tplc="B81CBCAE">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D2DE5"/>
    <w:multiLevelType w:val="hybridMultilevel"/>
    <w:tmpl w:val="CE6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01654"/>
    <w:multiLevelType w:val="multilevel"/>
    <w:tmpl w:val="AB54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05DA0"/>
    <w:multiLevelType w:val="hybridMultilevel"/>
    <w:tmpl w:val="FAE6E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26636"/>
    <w:multiLevelType w:val="hybridMultilevel"/>
    <w:tmpl w:val="D7D4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9163B"/>
    <w:multiLevelType w:val="multilevel"/>
    <w:tmpl w:val="2512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12E03"/>
    <w:multiLevelType w:val="multilevel"/>
    <w:tmpl w:val="B610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F61E1"/>
    <w:multiLevelType w:val="multilevel"/>
    <w:tmpl w:val="8F6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941DA"/>
    <w:multiLevelType w:val="multilevel"/>
    <w:tmpl w:val="33BA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9021F"/>
    <w:multiLevelType w:val="multilevel"/>
    <w:tmpl w:val="2312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05C96"/>
    <w:multiLevelType w:val="hybridMultilevel"/>
    <w:tmpl w:val="841C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203E4"/>
    <w:multiLevelType w:val="multilevel"/>
    <w:tmpl w:val="C38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704CC"/>
    <w:multiLevelType w:val="hybridMultilevel"/>
    <w:tmpl w:val="2FB0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A2B8A"/>
    <w:multiLevelType w:val="hybridMultilevel"/>
    <w:tmpl w:val="093C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4683E"/>
    <w:multiLevelType w:val="hybridMultilevel"/>
    <w:tmpl w:val="7A6A9512"/>
    <w:lvl w:ilvl="0" w:tplc="EDD46E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C51DE"/>
    <w:multiLevelType w:val="hybridMultilevel"/>
    <w:tmpl w:val="24C88CCC"/>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684F01"/>
    <w:multiLevelType w:val="multilevel"/>
    <w:tmpl w:val="4A56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F67E5A"/>
    <w:multiLevelType w:val="hybridMultilevel"/>
    <w:tmpl w:val="2C9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07643">
    <w:abstractNumId w:val="9"/>
  </w:num>
  <w:num w:numId="2" w16cid:durableId="520170838">
    <w:abstractNumId w:val="16"/>
  </w:num>
  <w:num w:numId="3" w16cid:durableId="1565335345">
    <w:abstractNumId w:val="10"/>
  </w:num>
  <w:num w:numId="4" w16cid:durableId="763843228">
    <w:abstractNumId w:val="8"/>
  </w:num>
  <w:num w:numId="5" w16cid:durableId="2077507861">
    <w:abstractNumId w:val="19"/>
  </w:num>
  <w:num w:numId="6" w16cid:durableId="773482001">
    <w:abstractNumId w:val="2"/>
  </w:num>
  <w:num w:numId="7" w16cid:durableId="1886134232">
    <w:abstractNumId w:val="14"/>
  </w:num>
  <w:num w:numId="8" w16cid:durableId="928124515">
    <w:abstractNumId w:val="11"/>
  </w:num>
  <w:num w:numId="9" w16cid:durableId="686179111">
    <w:abstractNumId w:val="1"/>
  </w:num>
  <w:num w:numId="10" w16cid:durableId="729035923">
    <w:abstractNumId w:val="4"/>
  </w:num>
  <w:num w:numId="11" w16cid:durableId="194275490">
    <w:abstractNumId w:val="15"/>
  </w:num>
  <w:num w:numId="12" w16cid:durableId="2029797244">
    <w:abstractNumId w:val="7"/>
  </w:num>
  <w:num w:numId="13" w16cid:durableId="853618238">
    <w:abstractNumId w:val="12"/>
  </w:num>
  <w:num w:numId="14" w16cid:durableId="340355268">
    <w:abstractNumId w:val="5"/>
  </w:num>
  <w:num w:numId="15" w16cid:durableId="396362279">
    <w:abstractNumId w:val="0"/>
  </w:num>
  <w:num w:numId="16" w16cid:durableId="1069811527">
    <w:abstractNumId w:val="13"/>
  </w:num>
  <w:num w:numId="17" w16cid:durableId="1941640182">
    <w:abstractNumId w:val="17"/>
  </w:num>
  <w:num w:numId="18" w16cid:durableId="1911303761">
    <w:abstractNumId w:val="18"/>
  </w:num>
  <w:num w:numId="19" w16cid:durableId="131413895">
    <w:abstractNumId w:val="20"/>
  </w:num>
  <w:num w:numId="20" w16cid:durableId="1033968799">
    <w:abstractNumId w:val="3"/>
  </w:num>
  <w:num w:numId="21" w16cid:durableId="357128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C8"/>
    <w:rsid w:val="00045F8D"/>
    <w:rsid w:val="0006353D"/>
    <w:rsid w:val="00086046"/>
    <w:rsid w:val="000E7506"/>
    <w:rsid w:val="00112766"/>
    <w:rsid w:val="00170128"/>
    <w:rsid w:val="001C7E9B"/>
    <w:rsid w:val="001D17C8"/>
    <w:rsid w:val="001E0CB1"/>
    <w:rsid w:val="00210AED"/>
    <w:rsid w:val="00287817"/>
    <w:rsid w:val="002E468E"/>
    <w:rsid w:val="002F4D31"/>
    <w:rsid w:val="00335726"/>
    <w:rsid w:val="00370C9A"/>
    <w:rsid w:val="00374DFA"/>
    <w:rsid w:val="003B08B7"/>
    <w:rsid w:val="00406930"/>
    <w:rsid w:val="004163EB"/>
    <w:rsid w:val="00445DDC"/>
    <w:rsid w:val="00474C6D"/>
    <w:rsid w:val="005071F3"/>
    <w:rsid w:val="00512736"/>
    <w:rsid w:val="00524DD9"/>
    <w:rsid w:val="005721D3"/>
    <w:rsid w:val="005844EC"/>
    <w:rsid w:val="0058456A"/>
    <w:rsid w:val="006218FA"/>
    <w:rsid w:val="006A5698"/>
    <w:rsid w:val="006B68AB"/>
    <w:rsid w:val="006E60D6"/>
    <w:rsid w:val="0071470B"/>
    <w:rsid w:val="00730906"/>
    <w:rsid w:val="00780147"/>
    <w:rsid w:val="00793E6A"/>
    <w:rsid w:val="007A15FA"/>
    <w:rsid w:val="007E5384"/>
    <w:rsid w:val="007F5653"/>
    <w:rsid w:val="00800A29"/>
    <w:rsid w:val="00812246"/>
    <w:rsid w:val="00865BBB"/>
    <w:rsid w:val="00892390"/>
    <w:rsid w:val="00897699"/>
    <w:rsid w:val="008B1F8B"/>
    <w:rsid w:val="008F2590"/>
    <w:rsid w:val="00927C13"/>
    <w:rsid w:val="00994005"/>
    <w:rsid w:val="00A31E99"/>
    <w:rsid w:val="00A6212C"/>
    <w:rsid w:val="00A97486"/>
    <w:rsid w:val="00AB4BF5"/>
    <w:rsid w:val="00B229F6"/>
    <w:rsid w:val="00B4519F"/>
    <w:rsid w:val="00B74BA1"/>
    <w:rsid w:val="00BB7094"/>
    <w:rsid w:val="00BD7080"/>
    <w:rsid w:val="00C72903"/>
    <w:rsid w:val="00CA52DF"/>
    <w:rsid w:val="00D0717D"/>
    <w:rsid w:val="00D1341C"/>
    <w:rsid w:val="00D455A2"/>
    <w:rsid w:val="00DF4F57"/>
    <w:rsid w:val="00E2539B"/>
    <w:rsid w:val="00E36B2F"/>
    <w:rsid w:val="00E54021"/>
    <w:rsid w:val="00E67B63"/>
    <w:rsid w:val="00E70A14"/>
    <w:rsid w:val="00E740E7"/>
    <w:rsid w:val="00E85F63"/>
    <w:rsid w:val="00ED134A"/>
    <w:rsid w:val="00EE1D8B"/>
    <w:rsid w:val="00F22337"/>
    <w:rsid w:val="00F660E3"/>
    <w:rsid w:val="00FC351D"/>
    <w:rsid w:val="00FE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66D06"/>
  <w15:docId w15:val="{4FDDDA49-430D-4C46-9FE0-F55977E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 w:type="table" w:styleId="TableGrid">
    <w:name w:val="Table Grid"/>
    <w:basedOn w:val="TableNormal"/>
    <w:rsid w:val="00E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4DFA"/>
    <w:rPr>
      <w:color w:val="605E5C"/>
      <w:shd w:val="clear" w:color="auto" w:fill="E1DFDD"/>
    </w:rPr>
  </w:style>
  <w:style w:type="paragraph" w:styleId="ListParagraph">
    <w:name w:val="List Paragraph"/>
    <w:basedOn w:val="Normal"/>
    <w:uiPriority w:val="34"/>
    <w:qFormat/>
    <w:rsid w:val="00CA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lurDdkgWZwHdQ6zatzD29mSVz2ZdRYWj0lP1rhkM1hQ/edit?usp=sharing" TargetMode="External"/><Relationship Id="rId13" Type="http://schemas.openxmlformats.org/officeDocument/2006/relationships/hyperlink" Target="https://senate.gcsu.edu/motions?combine=FAPC&amp;order=field_motion_status&amp;sort=asc"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Word_Document2.docx"/><Relationship Id="rId7" Type="http://schemas.openxmlformats.org/officeDocument/2006/relationships/endnotes" Target="endnotes.xml"/><Relationship Id="rId12" Type="http://schemas.openxmlformats.org/officeDocument/2006/relationships/hyperlink" Target="https://senate.gcsu.edu/motions?combine=FAPC&amp;order=field_abbreviation&amp;sort=asc"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motions?combine=FAPC&amp;order=name&amp;sort=as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nate.gcsu.edu/motions/emeritus-title-policy-revision-10092024" TargetMode="External"/><Relationship Id="rId23" Type="http://schemas.openxmlformats.org/officeDocument/2006/relationships/package" Target="embeddings/Microsoft_Word_Document3.docx"/><Relationship Id="rId10" Type="http://schemas.openxmlformats.org/officeDocument/2006/relationships/hyperlink" Target="https://senate.gcsu.edu/motions?combine=FAPC&amp;order=field_motion_type&amp;sort=asc" TargetMode="External"/><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https://senate.gcsu.edu/motions?combine=FAPC&amp;order=field_motion_number&amp;sort=asc" TargetMode="External"/><Relationship Id="rId14" Type="http://schemas.openxmlformats.org/officeDocument/2006/relationships/hyperlink" Target="https://senate.gcsu.edu/motions?combine=FAPC&amp;order=changed&amp;sort=asc"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64CE-4D1B-4AE8-92A9-2F175F4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16816</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Jennifer Flory</cp:lastModifiedBy>
  <cp:revision>6</cp:revision>
  <cp:lastPrinted>2014-01-24T22:01:00Z</cp:lastPrinted>
  <dcterms:created xsi:type="dcterms:W3CDTF">2025-08-07T19:24:00Z</dcterms:created>
  <dcterms:modified xsi:type="dcterms:W3CDTF">2025-08-10T21:23:00Z</dcterms:modified>
</cp:coreProperties>
</file>