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3D6D26A5"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B97A3A">
        <w:rPr>
          <w:b/>
          <w:bCs/>
          <w:sz w:val="20"/>
          <w:szCs w:val="20"/>
          <w:u w:val="single"/>
        </w:rPr>
        <w:t>no later</w:t>
      </w:r>
      <w:r w:rsidR="00086046" w:rsidRPr="00B97A3A">
        <w:rPr>
          <w:b/>
          <w:bCs/>
          <w:sz w:val="20"/>
          <w:szCs w:val="20"/>
          <w:u w:val="single"/>
        </w:rPr>
        <w:t xml:space="preserve"> than</w:t>
      </w:r>
      <w:r w:rsidR="00A55E3F" w:rsidRPr="00B97A3A">
        <w:rPr>
          <w:b/>
          <w:bCs/>
          <w:sz w:val="20"/>
          <w:szCs w:val="20"/>
          <w:u w:val="single"/>
        </w:rPr>
        <w:t xml:space="preserve"> 11:59pm on Fri </w:t>
      </w:r>
      <w:r w:rsidR="00DE72EA" w:rsidRPr="00B97A3A">
        <w:rPr>
          <w:b/>
          <w:bCs/>
          <w:sz w:val="20"/>
          <w:szCs w:val="20"/>
          <w:u w:val="single"/>
        </w:rPr>
        <w:t>1</w:t>
      </w:r>
      <w:r w:rsidR="00A55E3F" w:rsidRPr="00B97A3A">
        <w:rPr>
          <w:b/>
          <w:bCs/>
          <w:sz w:val="20"/>
          <w:szCs w:val="20"/>
          <w:u w:val="single"/>
        </w:rPr>
        <w:t xml:space="preserve"> May 20</w:t>
      </w:r>
      <w:r w:rsidR="00DE72EA" w:rsidRPr="00B97A3A">
        <w:rPr>
          <w:b/>
          <w:bCs/>
          <w:sz w:val="20"/>
          <w:szCs w:val="20"/>
          <w:u w:val="single"/>
        </w:rPr>
        <w:t>20</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5DF15C34" w:rsidR="00865BBB" w:rsidRPr="00E362A9" w:rsidRDefault="00865BBB" w:rsidP="00865BBB">
      <w:r w:rsidRPr="00E362A9">
        <w:rPr>
          <w:b/>
          <w:bCs/>
        </w:rPr>
        <w:t>Committee Name:</w:t>
      </w:r>
      <w:r w:rsidR="00E362A9">
        <w:rPr>
          <w:b/>
          <w:bCs/>
        </w:rPr>
        <w:tab/>
      </w:r>
      <w:r w:rsidR="00E362A9">
        <w:rPr>
          <w:b/>
          <w:bCs/>
        </w:rPr>
        <w:tab/>
        <w:t>Academic Policy Committee (APC)</w:t>
      </w:r>
    </w:p>
    <w:p w14:paraId="7A6BD62A" w14:textId="217FCB9D" w:rsidR="00865BBB" w:rsidRPr="00E362A9" w:rsidRDefault="00865BBB" w:rsidP="00865BBB">
      <w:r w:rsidRPr="00E362A9">
        <w:rPr>
          <w:b/>
          <w:bCs/>
        </w:rPr>
        <w:t>Academic Year:</w:t>
      </w:r>
      <w:r w:rsidR="00E362A9">
        <w:rPr>
          <w:b/>
          <w:bCs/>
        </w:rPr>
        <w:tab/>
      </w:r>
      <w:r w:rsidR="00E362A9">
        <w:rPr>
          <w:b/>
          <w:bCs/>
        </w:rPr>
        <w:tab/>
        <w:t>2019 - 2020</w:t>
      </w:r>
    </w:p>
    <w:p w14:paraId="1603F874" w14:textId="77777777" w:rsidR="00865BBB" w:rsidRPr="00E362A9" w:rsidRDefault="00865BBB" w:rsidP="00865BBB">
      <w:r w:rsidRPr="00E362A9">
        <w:rPr>
          <w:b/>
          <w:bCs/>
        </w:rPr>
        <w:t> </w:t>
      </w:r>
    </w:p>
    <w:p w14:paraId="315F42E6" w14:textId="77777777" w:rsidR="00865BBB" w:rsidRPr="00E362A9" w:rsidRDefault="00865BBB" w:rsidP="00865BBB">
      <w:r w:rsidRPr="00E362A9">
        <w:rPr>
          <w:b/>
          <w:bCs/>
        </w:rPr>
        <w:t>Committee Charge:</w:t>
      </w:r>
    </w:p>
    <w:p w14:paraId="1C5CF4F4" w14:textId="77777777" w:rsidR="00805A5C" w:rsidRPr="00333B9B" w:rsidRDefault="00805A5C" w:rsidP="00333B9B">
      <w:pPr>
        <w:shd w:val="clear" w:color="auto" w:fill="FFFFFF"/>
        <w:spacing w:before="100" w:beforeAutospacing="1" w:after="100" w:afterAutospacing="1"/>
        <w:jc w:val="both"/>
        <w:rPr>
          <w:rFonts w:ascii="PT Sans" w:hAnsi="PT Sans"/>
          <w:color w:val="444444"/>
          <w:sz w:val="20"/>
          <w:szCs w:val="20"/>
        </w:rPr>
      </w:pPr>
      <w:r w:rsidRPr="00333B9B">
        <w:rPr>
          <w:rStyle w:val="Strong"/>
          <w:rFonts w:ascii="PT Sans" w:hAnsi="PT Sans"/>
          <w:color w:val="444444"/>
          <w:sz w:val="20"/>
          <w:szCs w:val="20"/>
        </w:rPr>
        <w:t>V.Section</w:t>
      </w:r>
      <w:proofErr w:type="gramStart"/>
      <w:r w:rsidRPr="00333B9B">
        <w:rPr>
          <w:rStyle w:val="Strong"/>
          <w:rFonts w:ascii="PT Sans" w:hAnsi="PT Sans"/>
          <w:color w:val="444444"/>
          <w:sz w:val="20"/>
          <w:szCs w:val="20"/>
        </w:rPr>
        <w:t>2.C.</w:t>
      </w:r>
      <w:proofErr w:type="gramEnd"/>
      <w:r w:rsidRPr="00333B9B">
        <w:rPr>
          <w:rStyle w:val="Strong"/>
          <w:rFonts w:ascii="PT Sans" w:hAnsi="PT Sans"/>
          <w:color w:val="444444"/>
          <w:sz w:val="20"/>
          <w:szCs w:val="20"/>
        </w:rPr>
        <w:t>1.a. </w:t>
      </w:r>
      <w:r w:rsidRPr="00333B9B">
        <w:rPr>
          <w:rStyle w:val="Emphasis"/>
          <w:rFonts w:ascii="PT Sans" w:hAnsi="PT Sans"/>
          <w:b/>
          <w:bCs/>
          <w:color w:val="444444"/>
          <w:sz w:val="20"/>
          <w:szCs w:val="20"/>
        </w:rPr>
        <w:t>Membership</w:t>
      </w:r>
      <w:r w:rsidRPr="00333B9B">
        <w:rPr>
          <w:rStyle w:val="Strong"/>
          <w:rFonts w:ascii="PT Sans" w:hAnsi="PT Sans"/>
          <w:color w:val="444444"/>
          <w:sz w:val="20"/>
          <w:szCs w:val="20"/>
        </w:rPr>
        <w:t>.</w:t>
      </w:r>
      <w:r w:rsidRPr="00333B9B">
        <w:rPr>
          <w:rFonts w:ascii="PT Sans" w:hAnsi="PT Sans"/>
          <w:color w:val="444444"/>
          <w:sz w:val="20"/>
          <w:szCs w:val="20"/>
        </w:rPr>
        <w:t> The Academic Policy Committee 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p>
    <w:p w14:paraId="67920B7C" w14:textId="72BFC113" w:rsidR="00865BBB" w:rsidRPr="00333B9B" w:rsidRDefault="00805A5C" w:rsidP="00333B9B">
      <w:pPr>
        <w:shd w:val="clear" w:color="auto" w:fill="FFFFFF"/>
        <w:spacing w:before="100" w:beforeAutospacing="1" w:after="100" w:afterAutospacing="1"/>
        <w:rPr>
          <w:rFonts w:ascii="PT Sans" w:hAnsi="PT Sans"/>
          <w:color w:val="444444"/>
          <w:sz w:val="20"/>
          <w:szCs w:val="20"/>
        </w:rPr>
      </w:pPr>
      <w:r w:rsidRPr="00333B9B">
        <w:rPr>
          <w:rStyle w:val="Strong"/>
          <w:rFonts w:ascii="PT Sans" w:hAnsi="PT Sans"/>
          <w:color w:val="444444"/>
          <w:sz w:val="20"/>
          <w:szCs w:val="20"/>
        </w:rPr>
        <w:t>V.Section</w:t>
      </w:r>
      <w:proofErr w:type="gramStart"/>
      <w:r w:rsidRPr="00333B9B">
        <w:rPr>
          <w:rStyle w:val="Strong"/>
          <w:rFonts w:ascii="PT Sans" w:hAnsi="PT Sans"/>
          <w:color w:val="444444"/>
          <w:sz w:val="20"/>
          <w:szCs w:val="20"/>
        </w:rPr>
        <w:t>2.C.</w:t>
      </w:r>
      <w:proofErr w:type="gramEnd"/>
      <w:r w:rsidRPr="00333B9B">
        <w:rPr>
          <w:rStyle w:val="Strong"/>
          <w:rFonts w:ascii="PT Sans" w:hAnsi="PT Sans"/>
          <w:color w:val="444444"/>
          <w:sz w:val="20"/>
          <w:szCs w:val="20"/>
        </w:rPr>
        <w:t>1.b. </w:t>
      </w:r>
      <w:r w:rsidRPr="00333B9B">
        <w:rPr>
          <w:rStyle w:val="Emphasis"/>
          <w:rFonts w:ascii="PT Sans" w:hAnsi="PT Sans"/>
          <w:b/>
          <w:bCs/>
          <w:color w:val="444444"/>
          <w:sz w:val="20"/>
          <w:szCs w:val="20"/>
        </w:rPr>
        <w:t>Scope</w:t>
      </w:r>
      <w:r w:rsidRPr="00333B9B">
        <w:rPr>
          <w:rStyle w:val="Strong"/>
          <w:rFonts w:ascii="PT Sans" w:hAnsi="PT Sans"/>
          <w:color w:val="444444"/>
          <w:sz w:val="20"/>
          <w:szCs w:val="20"/>
        </w:rPr>
        <w:t>.</w:t>
      </w:r>
      <w:r w:rsidRPr="00333B9B">
        <w:rPr>
          <w:rFonts w:ascii="PT Sans" w:hAnsi="PT Sans"/>
          <w:color w:val="444444"/>
          <w:sz w:val="20"/>
          <w:szCs w:val="20"/>
        </w:rPr>
        <w:t xml:space="preserve"> The Academic Policy Committee shall review and recommend for or against policy relating to undergraduate and graduate education matters that have broad impact or implication to the university </w:t>
      </w:r>
      <w:proofErr w:type="gramStart"/>
      <w:r w:rsidRPr="00333B9B">
        <w:rPr>
          <w:rFonts w:ascii="PT Sans" w:hAnsi="PT Sans"/>
          <w:color w:val="444444"/>
          <w:sz w:val="20"/>
          <w:szCs w:val="20"/>
        </w:rPr>
        <w:t>as a whole, which</w:t>
      </w:r>
      <w:proofErr w:type="gramEnd"/>
      <w:r w:rsidRPr="00333B9B">
        <w:rPr>
          <w:rFonts w:ascii="PT Sans" w:hAnsi="PT Sans"/>
          <w:color w:val="444444"/>
          <w:sz w:val="20"/>
          <w:szCs w:val="20"/>
        </w:rPr>
        <w:t xml:space="preserve"> includes, but is not limited to, policies relating to grading, scholastic probation and honors, academic appeals, academic standing, standards for admission, general university degree requirements, educational processes, academic calendar, academic assessment, and academic ceremonies. This committee also provides advice, as appropriate, on academic procedural matters at the institution which includes, but is not limited to, academic assessment and those matters relating to the educational process.</w:t>
      </w:r>
    </w:p>
    <w:p w14:paraId="68CF71B4" w14:textId="77777777" w:rsidR="00865BBB" w:rsidRPr="00E362A9" w:rsidRDefault="00865BBB" w:rsidP="00865BBB">
      <w:r w:rsidRPr="00E362A9">
        <w:rPr>
          <w:b/>
          <w:bCs/>
        </w:rPr>
        <w:t>Committee Calendar:</w:t>
      </w:r>
    </w:p>
    <w:p w14:paraId="794A088A" w14:textId="77777777" w:rsidR="00865BBB" w:rsidRPr="00E362A9" w:rsidRDefault="00865BBB" w:rsidP="00865BBB">
      <w:pPr>
        <w:rPr>
          <w:i/>
          <w:iCs/>
        </w:rPr>
      </w:pPr>
      <w:r w:rsidRPr="00E362A9">
        <w:rPr>
          <w:i/>
          <w:iCs/>
        </w:rPr>
        <w:t xml:space="preserve">Listing of dates on which the committee met. </w:t>
      </w:r>
    </w:p>
    <w:tbl>
      <w:tblPr>
        <w:tblStyle w:val="TableGrid"/>
        <w:tblW w:w="0" w:type="auto"/>
        <w:tblLook w:val="04A0" w:firstRow="1" w:lastRow="0" w:firstColumn="1" w:lastColumn="0" w:noHBand="0" w:noVBand="1"/>
      </w:tblPr>
      <w:tblGrid>
        <w:gridCol w:w="5076"/>
        <w:gridCol w:w="5076"/>
      </w:tblGrid>
      <w:tr w:rsidR="00520DBC" w14:paraId="6F7CFECD" w14:textId="77777777" w:rsidTr="00520DBC">
        <w:tc>
          <w:tcPr>
            <w:tcW w:w="5076" w:type="dxa"/>
          </w:tcPr>
          <w:p w14:paraId="6BA7CBBC" w14:textId="740FEC75" w:rsidR="00520DBC" w:rsidRPr="00BB3740" w:rsidRDefault="00520DBC" w:rsidP="008F0AEF">
            <w:pPr>
              <w:jc w:val="center"/>
              <w:rPr>
                <w:b/>
                <w:bCs/>
                <w:sz w:val="22"/>
                <w:szCs w:val="22"/>
              </w:rPr>
            </w:pPr>
            <w:r w:rsidRPr="00BB3740">
              <w:rPr>
                <w:b/>
                <w:bCs/>
                <w:sz w:val="22"/>
                <w:szCs w:val="22"/>
              </w:rPr>
              <w:t>Date</w:t>
            </w:r>
          </w:p>
        </w:tc>
        <w:tc>
          <w:tcPr>
            <w:tcW w:w="5076" w:type="dxa"/>
          </w:tcPr>
          <w:p w14:paraId="1F3FD938" w14:textId="61C3780B" w:rsidR="00520DBC" w:rsidRPr="00BB3740" w:rsidRDefault="008F0AEF" w:rsidP="008F0AEF">
            <w:pPr>
              <w:jc w:val="center"/>
              <w:rPr>
                <w:b/>
                <w:bCs/>
                <w:sz w:val="22"/>
                <w:szCs w:val="22"/>
              </w:rPr>
            </w:pPr>
            <w:r>
              <w:rPr>
                <w:b/>
                <w:bCs/>
                <w:sz w:val="22"/>
                <w:szCs w:val="22"/>
              </w:rPr>
              <w:t>Location</w:t>
            </w:r>
          </w:p>
        </w:tc>
      </w:tr>
      <w:tr w:rsidR="00520DBC" w14:paraId="3D48DC1C" w14:textId="77777777" w:rsidTr="0004576F">
        <w:trPr>
          <w:trHeight w:val="224"/>
        </w:trPr>
        <w:tc>
          <w:tcPr>
            <w:tcW w:w="5076" w:type="dxa"/>
          </w:tcPr>
          <w:p w14:paraId="2947E6ED" w14:textId="03643697" w:rsidR="00520DBC" w:rsidRPr="00BB3740" w:rsidRDefault="00014872" w:rsidP="00865BBB">
            <w:pPr>
              <w:rPr>
                <w:bCs/>
                <w:sz w:val="22"/>
                <w:szCs w:val="22"/>
              </w:rPr>
            </w:pPr>
            <w:r w:rsidRPr="00BB3740">
              <w:rPr>
                <w:bCs/>
                <w:sz w:val="22"/>
                <w:szCs w:val="22"/>
              </w:rPr>
              <w:t>April 19, 2019</w:t>
            </w:r>
          </w:p>
        </w:tc>
        <w:tc>
          <w:tcPr>
            <w:tcW w:w="5076" w:type="dxa"/>
          </w:tcPr>
          <w:p w14:paraId="4672CDAA" w14:textId="0EB4528F" w:rsidR="00520DBC" w:rsidRPr="00BB3740" w:rsidRDefault="000D5F2D" w:rsidP="00865BBB">
            <w:pPr>
              <w:rPr>
                <w:bCs/>
                <w:sz w:val="22"/>
                <w:szCs w:val="22"/>
              </w:rPr>
            </w:pPr>
            <w:r>
              <w:rPr>
                <w:bCs/>
                <w:sz w:val="22"/>
                <w:szCs w:val="22"/>
              </w:rPr>
              <w:t>Did not meet</w:t>
            </w:r>
          </w:p>
        </w:tc>
      </w:tr>
      <w:tr w:rsidR="00520DBC" w14:paraId="61409C8F" w14:textId="77777777" w:rsidTr="00520DBC">
        <w:tc>
          <w:tcPr>
            <w:tcW w:w="5076" w:type="dxa"/>
          </w:tcPr>
          <w:p w14:paraId="2F30E07C" w14:textId="23779DCD" w:rsidR="00520DBC" w:rsidRPr="00BB3740" w:rsidRDefault="00014872" w:rsidP="00865BBB">
            <w:pPr>
              <w:rPr>
                <w:bCs/>
                <w:sz w:val="22"/>
                <w:szCs w:val="22"/>
              </w:rPr>
            </w:pPr>
            <w:r w:rsidRPr="00BB3740">
              <w:rPr>
                <w:bCs/>
                <w:sz w:val="22"/>
                <w:szCs w:val="22"/>
              </w:rPr>
              <w:t>August 13, 2019</w:t>
            </w:r>
          </w:p>
        </w:tc>
        <w:tc>
          <w:tcPr>
            <w:tcW w:w="5076" w:type="dxa"/>
          </w:tcPr>
          <w:p w14:paraId="0120C560" w14:textId="12676418" w:rsidR="00520DBC" w:rsidRPr="00BB3740" w:rsidRDefault="00014872" w:rsidP="00865BBB">
            <w:pPr>
              <w:rPr>
                <w:bCs/>
                <w:sz w:val="22"/>
                <w:szCs w:val="22"/>
              </w:rPr>
            </w:pPr>
            <w:r w:rsidRPr="00BB3740">
              <w:rPr>
                <w:bCs/>
                <w:sz w:val="22"/>
                <w:szCs w:val="22"/>
              </w:rPr>
              <w:t xml:space="preserve">At University Senate Retreat </w:t>
            </w:r>
          </w:p>
        </w:tc>
      </w:tr>
      <w:tr w:rsidR="00520DBC" w14:paraId="0D277F60" w14:textId="77777777" w:rsidTr="00520DBC">
        <w:tc>
          <w:tcPr>
            <w:tcW w:w="5076" w:type="dxa"/>
          </w:tcPr>
          <w:p w14:paraId="06C30BFF" w14:textId="0102AB5B" w:rsidR="00520DBC" w:rsidRPr="00BB3740" w:rsidRDefault="001019E1" w:rsidP="00865BBB">
            <w:pPr>
              <w:rPr>
                <w:bCs/>
                <w:sz w:val="22"/>
                <w:szCs w:val="22"/>
              </w:rPr>
            </w:pPr>
            <w:r w:rsidRPr="00BB3740">
              <w:rPr>
                <w:bCs/>
                <w:sz w:val="22"/>
                <w:szCs w:val="22"/>
              </w:rPr>
              <w:t>September 6, 2019</w:t>
            </w:r>
          </w:p>
        </w:tc>
        <w:tc>
          <w:tcPr>
            <w:tcW w:w="5076" w:type="dxa"/>
          </w:tcPr>
          <w:p w14:paraId="03AFDFC0" w14:textId="071859B8" w:rsidR="00520DBC" w:rsidRPr="00BB3740" w:rsidRDefault="008F0AEF" w:rsidP="00865BBB">
            <w:pPr>
              <w:rPr>
                <w:bCs/>
                <w:sz w:val="22"/>
                <w:szCs w:val="22"/>
              </w:rPr>
            </w:pPr>
            <w:r>
              <w:rPr>
                <w:bCs/>
                <w:sz w:val="22"/>
                <w:szCs w:val="22"/>
              </w:rPr>
              <w:t>Health Sciences 211</w:t>
            </w:r>
          </w:p>
        </w:tc>
      </w:tr>
      <w:tr w:rsidR="008F0AEF" w14:paraId="17532140" w14:textId="77777777" w:rsidTr="00520DBC">
        <w:tc>
          <w:tcPr>
            <w:tcW w:w="5076" w:type="dxa"/>
          </w:tcPr>
          <w:p w14:paraId="3F4E4950" w14:textId="5E746E91" w:rsidR="008F0AEF" w:rsidRPr="00BB3740" w:rsidRDefault="008F0AEF" w:rsidP="00865BBB">
            <w:pPr>
              <w:rPr>
                <w:bCs/>
                <w:sz w:val="22"/>
                <w:szCs w:val="22"/>
              </w:rPr>
            </w:pPr>
            <w:r w:rsidRPr="00BB3740">
              <w:rPr>
                <w:bCs/>
                <w:sz w:val="22"/>
                <w:szCs w:val="22"/>
              </w:rPr>
              <w:t>October 4, 2019</w:t>
            </w:r>
          </w:p>
        </w:tc>
        <w:tc>
          <w:tcPr>
            <w:tcW w:w="5076" w:type="dxa"/>
          </w:tcPr>
          <w:p w14:paraId="395F47D2" w14:textId="08A22033" w:rsidR="008F0AEF" w:rsidRPr="00BB3740" w:rsidRDefault="008F0AEF" w:rsidP="00865BBB">
            <w:pPr>
              <w:rPr>
                <w:bCs/>
                <w:sz w:val="22"/>
                <w:szCs w:val="22"/>
              </w:rPr>
            </w:pPr>
            <w:r w:rsidRPr="008069FC">
              <w:rPr>
                <w:bCs/>
                <w:sz w:val="22"/>
                <w:szCs w:val="22"/>
              </w:rPr>
              <w:t>Health Sciences 211</w:t>
            </w:r>
          </w:p>
        </w:tc>
      </w:tr>
      <w:tr w:rsidR="008F0AEF" w14:paraId="7D26D065" w14:textId="77777777" w:rsidTr="00520DBC">
        <w:tc>
          <w:tcPr>
            <w:tcW w:w="5076" w:type="dxa"/>
          </w:tcPr>
          <w:p w14:paraId="6B2F658B" w14:textId="33C28679" w:rsidR="008F0AEF" w:rsidRPr="00BB3740" w:rsidRDefault="008F0AEF" w:rsidP="00865BBB">
            <w:pPr>
              <w:rPr>
                <w:bCs/>
                <w:sz w:val="22"/>
                <w:szCs w:val="22"/>
              </w:rPr>
            </w:pPr>
            <w:r w:rsidRPr="00BB3740">
              <w:rPr>
                <w:bCs/>
                <w:sz w:val="22"/>
                <w:szCs w:val="22"/>
              </w:rPr>
              <w:t>November 1, 2019</w:t>
            </w:r>
          </w:p>
        </w:tc>
        <w:tc>
          <w:tcPr>
            <w:tcW w:w="5076" w:type="dxa"/>
          </w:tcPr>
          <w:p w14:paraId="145788C6" w14:textId="4EB9FF6C" w:rsidR="008F0AEF" w:rsidRPr="00BB3740" w:rsidRDefault="008F0AEF" w:rsidP="00865BBB">
            <w:pPr>
              <w:rPr>
                <w:bCs/>
                <w:sz w:val="22"/>
                <w:szCs w:val="22"/>
              </w:rPr>
            </w:pPr>
            <w:r w:rsidRPr="008069FC">
              <w:rPr>
                <w:bCs/>
                <w:sz w:val="22"/>
                <w:szCs w:val="22"/>
              </w:rPr>
              <w:t>Health Sciences 211</w:t>
            </w:r>
          </w:p>
        </w:tc>
      </w:tr>
      <w:tr w:rsidR="008F0AEF" w14:paraId="5A3BB8B4" w14:textId="77777777" w:rsidTr="00520DBC">
        <w:tc>
          <w:tcPr>
            <w:tcW w:w="5076" w:type="dxa"/>
          </w:tcPr>
          <w:p w14:paraId="5515A2EF" w14:textId="2D110190" w:rsidR="008F0AEF" w:rsidRPr="00BB3740" w:rsidRDefault="008F0AEF" w:rsidP="00865BBB">
            <w:pPr>
              <w:rPr>
                <w:bCs/>
                <w:sz w:val="22"/>
                <w:szCs w:val="22"/>
              </w:rPr>
            </w:pPr>
            <w:r w:rsidRPr="00BB3740">
              <w:rPr>
                <w:bCs/>
                <w:sz w:val="22"/>
                <w:szCs w:val="22"/>
              </w:rPr>
              <w:t xml:space="preserve">January 10, 2020 </w:t>
            </w:r>
          </w:p>
        </w:tc>
        <w:tc>
          <w:tcPr>
            <w:tcW w:w="5076" w:type="dxa"/>
          </w:tcPr>
          <w:p w14:paraId="3A18888F" w14:textId="5088A33B" w:rsidR="008F0AEF" w:rsidRPr="00BB3740" w:rsidRDefault="008F0AEF" w:rsidP="00865BBB">
            <w:pPr>
              <w:rPr>
                <w:bCs/>
                <w:sz w:val="22"/>
                <w:szCs w:val="22"/>
              </w:rPr>
            </w:pPr>
            <w:r w:rsidRPr="008069FC">
              <w:rPr>
                <w:bCs/>
                <w:sz w:val="22"/>
                <w:szCs w:val="22"/>
              </w:rPr>
              <w:t>Health Sciences 211</w:t>
            </w:r>
          </w:p>
        </w:tc>
      </w:tr>
      <w:tr w:rsidR="008F0AEF" w14:paraId="1EA4C2AD" w14:textId="77777777" w:rsidTr="00520DBC">
        <w:tc>
          <w:tcPr>
            <w:tcW w:w="5076" w:type="dxa"/>
          </w:tcPr>
          <w:p w14:paraId="4029BAAA" w14:textId="0075BBB8" w:rsidR="008F0AEF" w:rsidRPr="00BB3740" w:rsidRDefault="008F0AEF" w:rsidP="00865BBB">
            <w:pPr>
              <w:rPr>
                <w:bCs/>
                <w:sz w:val="22"/>
                <w:szCs w:val="22"/>
              </w:rPr>
            </w:pPr>
            <w:r w:rsidRPr="00BB3740">
              <w:rPr>
                <w:bCs/>
                <w:sz w:val="22"/>
                <w:szCs w:val="22"/>
              </w:rPr>
              <w:t>February 14, 2020</w:t>
            </w:r>
          </w:p>
        </w:tc>
        <w:tc>
          <w:tcPr>
            <w:tcW w:w="5076" w:type="dxa"/>
          </w:tcPr>
          <w:p w14:paraId="1BEAED78" w14:textId="24EAF5D6" w:rsidR="008F0AEF" w:rsidRPr="00BB3740" w:rsidRDefault="008F0AEF" w:rsidP="00865BBB">
            <w:pPr>
              <w:rPr>
                <w:bCs/>
                <w:sz w:val="22"/>
                <w:szCs w:val="22"/>
              </w:rPr>
            </w:pPr>
            <w:r w:rsidRPr="008069FC">
              <w:rPr>
                <w:bCs/>
                <w:sz w:val="22"/>
                <w:szCs w:val="22"/>
              </w:rPr>
              <w:t>Health Sciences 211</w:t>
            </w:r>
          </w:p>
        </w:tc>
      </w:tr>
      <w:tr w:rsidR="008F0AEF" w14:paraId="7D12A559" w14:textId="77777777" w:rsidTr="00520DBC">
        <w:tc>
          <w:tcPr>
            <w:tcW w:w="5076" w:type="dxa"/>
          </w:tcPr>
          <w:p w14:paraId="31CD3586" w14:textId="3FAF437B" w:rsidR="008F0AEF" w:rsidRPr="00BB3740" w:rsidRDefault="008F0AEF" w:rsidP="00865BBB">
            <w:pPr>
              <w:rPr>
                <w:bCs/>
                <w:sz w:val="22"/>
                <w:szCs w:val="22"/>
              </w:rPr>
            </w:pPr>
            <w:r w:rsidRPr="00BB3740">
              <w:rPr>
                <w:bCs/>
                <w:sz w:val="22"/>
                <w:szCs w:val="22"/>
              </w:rPr>
              <w:t>March 6, 2020</w:t>
            </w:r>
          </w:p>
        </w:tc>
        <w:tc>
          <w:tcPr>
            <w:tcW w:w="5076" w:type="dxa"/>
          </w:tcPr>
          <w:p w14:paraId="288B24E1" w14:textId="64E5DFB1" w:rsidR="008F0AEF" w:rsidRPr="00BB3740" w:rsidRDefault="008F0AEF" w:rsidP="00865BBB">
            <w:pPr>
              <w:rPr>
                <w:bCs/>
                <w:sz w:val="22"/>
                <w:szCs w:val="22"/>
              </w:rPr>
            </w:pPr>
            <w:r w:rsidRPr="008069FC">
              <w:rPr>
                <w:bCs/>
                <w:sz w:val="22"/>
                <w:szCs w:val="22"/>
              </w:rPr>
              <w:t>Health Sciences 211</w:t>
            </w:r>
          </w:p>
        </w:tc>
      </w:tr>
      <w:tr w:rsidR="00520DBC" w14:paraId="380006C1" w14:textId="77777777" w:rsidTr="00520DBC">
        <w:tc>
          <w:tcPr>
            <w:tcW w:w="5076" w:type="dxa"/>
          </w:tcPr>
          <w:p w14:paraId="4F5E50D3" w14:textId="41BCA405" w:rsidR="00520DBC" w:rsidRPr="00BB3740" w:rsidRDefault="001019E1" w:rsidP="00865BBB">
            <w:pPr>
              <w:rPr>
                <w:bCs/>
                <w:sz w:val="22"/>
                <w:szCs w:val="22"/>
              </w:rPr>
            </w:pPr>
            <w:r w:rsidRPr="00BB3740">
              <w:rPr>
                <w:bCs/>
                <w:sz w:val="22"/>
                <w:szCs w:val="22"/>
              </w:rPr>
              <w:t>April 10, 2020</w:t>
            </w:r>
          </w:p>
        </w:tc>
        <w:tc>
          <w:tcPr>
            <w:tcW w:w="5076" w:type="dxa"/>
          </w:tcPr>
          <w:p w14:paraId="704F947A" w14:textId="79959DFF" w:rsidR="00520DBC" w:rsidRPr="00BB3740" w:rsidRDefault="001019E1" w:rsidP="00865BBB">
            <w:pPr>
              <w:rPr>
                <w:bCs/>
                <w:sz w:val="22"/>
                <w:szCs w:val="22"/>
              </w:rPr>
            </w:pPr>
            <w:r w:rsidRPr="00BB3740">
              <w:rPr>
                <w:bCs/>
                <w:sz w:val="22"/>
                <w:szCs w:val="22"/>
              </w:rPr>
              <w:t>Via WebEx</w:t>
            </w:r>
          </w:p>
        </w:tc>
      </w:tr>
    </w:tbl>
    <w:p w14:paraId="2CE5B2B3" w14:textId="77777777" w:rsidR="00210259" w:rsidRDefault="00865BBB" w:rsidP="00865BBB">
      <w:pPr>
        <w:rPr>
          <w:b/>
          <w:bCs/>
        </w:rPr>
      </w:pPr>
      <w:r w:rsidRPr="00E362A9">
        <w:rPr>
          <w:b/>
          <w:bCs/>
        </w:rPr>
        <w:t> </w:t>
      </w:r>
    </w:p>
    <w:p w14:paraId="4E60B360" w14:textId="03055A8B" w:rsidR="00865BBB" w:rsidRPr="00210259" w:rsidRDefault="00865BBB" w:rsidP="00865BBB">
      <w:pPr>
        <w:rPr>
          <w:b/>
          <w:bCs/>
        </w:rPr>
      </w:pPr>
      <w:r w:rsidRPr="00E362A9">
        <w:rPr>
          <w:b/>
          <w:bCs/>
        </w:rPr>
        <w:t>Executive Summary</w:t>
      </w:r>
      <w:r w:rsidRPr="00E362A9">
        <w:t>:</w:t>
      </w:r>
    </w:p>
    <w:p w14:paraId="79C0B862" w14:textId="22098200" w:rsidR="00865BBB" w:rsidRPr="00333B9B" w:rsidRDefault="00D67B4A" w:rsidP="00865BBB">
      <w:pPr>
        <w:rPr>
          <w:sz w:val="20"/>
          <w:szCs w:val="20"/>
        </w:rPr>
      </w:pPr>
      <w:r>
        <w:rPr>
          <w:sz w:val="20"/>
          <w:szCs w:val="20"/>
        </w:rPr>
        <w:t>APC spent time discussing</w:t>
      </w:r>
      <w:r w:rsidR="00210259" w:rsidRPr="00333B9B">
        <w:rPr>
          <w:sz w:val="20"/>
          <w:szCs w:val="20"/>
        </w:rPr>
        <w:t xml:space="preserve"> the following:</w:t>
      </w:r>
    </w:p>
    <w:p w14:paraId="6743EBD2" w14:textId="61CCEBAD" w:rsidR="00210259" w:rsidRPr="00333B9B" w:rsidRDefault="00D67B4A" w:rsidP="00210259">
      <w:pPr>
        <w:pStyle w:val="ListParagraph"/>
        <w:numPr>
          <w:ilvl w:val="0"/>
          <w:numId w:val="2"/>
        </w:numPr>
        <w:rPr>
          <w:sz w:val="20"/>
          <w:szCs w:val="20"/>
        </w:rPr>
      </w:pPr>
      <w:r>
        <w:rPr>
          <w:sz w:val="20"/>
          <w:szCs w:val="20"/>
        </w:rPr>
        <w:t>Plagiarism Reporting System</w:t>
      </w:r>
    </w:p>
    <w:p w14:paraId="68847F40" w14:textId="483C3553" w:rsidR="00210259" w:rsidRPr="00333B9B" w:rsidRDefault="00D67B4A" w:rsidP="00210259">
      <w:pPr>
        <w:pStyle w:val="ListParagraph"/>
        <w:numPr>
          <w:ilvl w:val="0"/>
          <w:numId w:val="2"/>
        </w:numPr>
        <w:rPr>
          <w:sz w:val="20"/>
          <w:szCs w:val="20"/>
        </w:rPr>
      </w:pPr>
      <w:r>
        <w:rPr>
          <w:sz w:val="20"/>
          <w:szCs w:val="20"/>
        </w:rPr>
        <w:t>Student Behavior, Grievances, and Electronic Submission</w:t>
      </w:r>
    </w:p>
    <w:p w14:paraId="57019434" w14:textId="7243E921" w:rsidR="00210259" w:rsidRDefault="00D67B4A" w:rsidP="00210259">
      <w:pPr>
        <w:pStyle w:val="ListParagraph"/>
        <w:numPr>
          <w:ilvl w:val="0"/>
          <w:numId w:val="2"/>
        </w:numPr>
        <w:rPr>
          <w:sz w:val="20"/>
          <w:szCs w:val="20"/>
        </w:rPr>
      </w:pPr>
      <w:r>
        <w:rPr>
          <w:sz w:val="20"/>
          <w:szCs w:val="20"/>
        </w:rPr>
        <w:t>HR’s Prohibition and Penalties Guide</w:t>
      </w:r>
    </w:p>
    <w:p w14:paraId="2A946A95" w14:textId="1AC99C6A" w:rsidR="003B54C7" w:rsidRPr="00333B9B" w:rsidRDefault="003B54C7" w:rsidP="00210259">
      <w:pPr>
        <w:pStyle w:val="ListParagraph"/>
        <w:numPr>
          <w:ilvl w:val="0"/>
          <w:numId w:val="2"/>
        </w:numPr>
        <w:rPr>
          <w:sz w:val="20"/>
          <w:szCs w:val="20"/>
        </w:rPr>
      </w:pPr>
      <w:r>
        <w:rPr>
          <w:sz w:val="20"/>
          <w:szCs w:val="20"/>
        </w:rPr>
        <w:t>Academic Calendar</w:t>
      </w:r>
    </w:p>
    <w:p w14:paraId="729F6BCD" w14:textId="685192F2" w:rsidR="00210259" w:rsidRPr="00333B9B" w:rsidRDefault="00D67B4A" w:rsidP="00210259">
      <w:pPr>
        <w:pStyle w:val="ListParagraph"/>
        <w:numPr>
          <w:ilvl w:val="0"/>
          <w:numId w:val="2"/>
        </w:numPr>
        <w:rPr>
          <w:sz w:val="20"/>
          <w:szCs w:val="20"/>
        </w:rPr>
      </w:pPr>
      <w:r>
        <w:rPr>
          <w:sz w:val="20"/>
          <w:szCs w:val="20"/>
        </w:rPr>
        <w:t>Fair Use of Online Content</w:t>
      </w:r>
    </w:p>
    <w:p w14:paraId="0F70E1B9" w14:textId="77777777" w:rsidR="00210259" w:rsidRPr="00333B9B" w:rsidRDefault="00210259" w:rsidP="00210259">
      <w:pPr>
        <w:rPr>
          <w:sz w:val="20"/>
          <w:szCs w:val="20"/>
        </w:rPr>
      </w:pPr>
    </w:p>
    <w:p w14:paraId="17570EE8" w14:textId="5ABD3B3B" w:rsidR="00210259" w:rsidRPr="00333B9B" w:rsidRDefault="00F03C55" w:rsidP="00210259">
      <w:pPr>
        <w:rPr>
          <w:sz w:val="20"/>
          <w:szCs w:val="20"/>
        </w:rPr>
      </w:pPr>
      <w:r w:rsidRPr="00333B9B">
        <w:rPr>
          <w:sz w:val="20"/>
          <w:szCs w:val="20"/>
        </w:rPr>
        <w:t>APC spent considerable time deliberating and hearing from guest speakers</w:t>
      </w:r>
      <w:r>
        <w:rPr>
          <w:sz w:val="20"/>
          <w:szCs w:val="20"/>
        </w:rPr>
        <w:t xml:space="preserve"> regarding the last item, Fair Use of Online Content</w:t>
      </w:r>
      <w:r w:rsidR="00210259" w:rsidRPr="00333B9B">
        <w:rPr>
          <w:sz w:val="20"/>
          <w:szCs w:val="20"/>
        </w:rPr>
        <w:t>. This is the only it</w:t>
      </w:r>
      <w:r w:rsidR="000D5F2D">
        <w:rPr>
          <w:sz w:val="20"/>
          <w:szCs w:val="20"/>
        </w:rPr>
        <w:t>em that led to APC sending three</w:t>
      </w:r>
      <w:r w:rsidR="00210259" w:rsidRPr="00333B9B">
        <w:rPr>
          <w:sz w:val="20"/>
          <w:szCs w:val="20"/>
        </w:rPr>
        <w:t xml:space="preserve"> </w:t>
      </w:r>
      <w:r>
        <w:rPr>
          <w:sz w:val="20"/>
          <w:szCs w:val="20"/>
        </w:rPr>
        <w:t xml:space="preserve">Copyright Policy </w:t>
      </w:r>
      <w:r w:rsidR="00210259" w:rsidRPr="00333B9B">
        <w:rPr>
          <w:sz w:val="20"/>
          <w:szCs w:val="20"/>
        </w:rPr>
        <w:t xml:space="preserve">motions to the senate floor during </w:t>
      </w:r>
      <w:r>
        <w:rPr>
          <w:sz w:val="20"/>
          <w:szCs w:val="20"/>
        </w:rPr>
        <w:t xml:space="preserve">the </w:t>
      </w:r>
      <w:r w:rsidR="00210259" w:rsidRPr="00333B9B">
        <w:rPr>
          <w:sz w:val="20"/>
          <w:szCs w:val="20"/>
        </w:rPr>
        <w:t>2019-2020</w:t>
      </w:r>
      <w:r>
        <w:rPr>
          <w:sz w:val="20"/>
          <w:szCs w:val="20"/>
        </w:rPr>
        <w:t xml:space="preserve"> academic year</w:t>
      </w:r>
      <w:r w:rsidR="00210259" w:rsidRPr="00333B9B">
        <w:rPr>
          <w:sz w:val="20"/>
          <w:szCs w:val="20"/>
        </w:rPr>
        <w:t xml:space="preserve">. </w:t>
      </w:r>
      <w:r w:rsidR="000D5F2D">
        <w:rPr>
          <w:sz w:val="20"/>
          <w:szCs w:val="20"/>
        </w:rPr>
        <w:t>Two of the motions (D2L Splash Page and Annual Compliance Training) were voted on and approved by the senate. The third (Syllabus Statement) was withdrawn from the senate meeting agenda, by the APC Chair, prior to the senate meeting</w:t>
      </w:r>
      <w:r w:rsidR="00B97A3A">
        <w:rPr>
          <w:sz w:val="20"/>
          <w:szCs w:val="20"/>
        </w:rPr>
        <w:t xml:space="preserve"> due to the questions and comments raised</w:t>
      </w:r>
      <w:r w:rsidR="000D5F2D">
        <w:rPr>
          <w:sz w:val="20"/>
          <w:szCs w:val="20"/>
        </w:rPr>
        <w:t xml:space="preserve">. </w:t>
      </w:r>
    </w:p>
    <w:p w14:paraId="56212294" w14:textId="77777777" w:rsidR="00210259" w:rsidRPr="00E362A9" w:rsidRDefault="00210259" w:rsidP="00210259"/>
    <w:p w14:paraId="716E7B5D" w14:textId="77777777" w:rsidR="00865BBB" w:rsidRPr="00E362A9" w:rsidRDefault="00865BBB" w:rsidP="00865BBB">
      <w:r w:rsidRPr="00E362A9">
        <w:rPr>
          <w:b/>
          <w:bCs/>
        </w:rPr>
        <w:t>Committee Membership</w:t>
      </w:r>
      <w:r w:rsidRPr="00E362A9">
        <w:t xml:space="preserve"> </w:t>
      </w:r>
      <w:r w:rsidRPr="00E362A9">
        <w:rPr>
          <w:b/>
          <w:bCs/>
        </w:rPr>
        <w:t>and Record of Attendance:</w:t>
      </w:r>
    </w:p>
    <w:p w14:paraId="0471451D" w14:textId="099F01CF" w:rsidR="00210259" w:rsidRPr="00333B9B" w:rsidRDefault="00210259" w:rsidP="00210259">
      <w:pPr>
        <w:rPr>
          <w:bCs/>
          <w:smallCaps/>
          <w:sz w:val="20"/>
          <w:szCs w:val="20"/>
        </w:rPr>
      </w:pPr>
      <w:r w:rsidRPr="00333B9B">
        <w:rPr>
          <w:bCs/>
          <w:smallCaps/>
          <w:sz w:val="20"/>
          <w:szCs w:val="20"/>
        </w:rPr>
        <w:t>Aggregate Member Attendance at Committee Meetings for the Academic Year:</w:t>
      </w:r>
    </w:p>
    <w:p w14:paraId="75395C4B" w14:textId="22E129AC" w:rsidR="00210259" w:rsidRPr="00333B9B" w:rsidRDefault="00210259" w:rsidP="00210259">
      <w:pPr>
        <w:rPr>
          <w:sz w:val="20"/>
          <w:szCs w:val="20"/>
        </w:rPr>
      </w:pPr>
      <w:r w:rsidRPr="00333B9B">
        <w:rPr>
          <w:sz w:val="20"/>
          <w:szCs w:val="20"/>
        </w:rPr>
        <w:t>“P” denotes Present, “A” denotes Absent, “R” denotes Regrets.</w:t>
      </w:r>
    </w:p>
    <w:p w14:paraId="3EB30354" w14:textId="77777777" w:rsidR="00333B9B" w:rsidRPr="008F0AEF" w:rsidRDefault="00333B9B" w:rsidP="00210259"/>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336"/>
        <w:gridCol w:w="1060"/>
        <w:gridCol w:w="1060"/>
        <w:gridCol w:w="1060"/>
        <w:gridCol w:w="1060"/>
        <w:gridCol w:w="1060"/>
        <w:gridCol w:w="1060"/>
        <w:gridCol w:w="936"/>
      </w:tblGrid>
      <w:tr w:rsidR="00210259" w:rsidRPr="002F18DC" w14:paraId="3D8451B0" w14:textId="77777777" w:rsidTr="002F18DC">
        <w:tc>
          <w:tcPr>
            <w:tcW w:w="3336" w:type="dxa"/>
            <w:tcBorders>
              <w:top w:val="single" w:sz="4" w:space="0" w:color="auto"/>
              <w:left w:val="double" w:sz="4" w:space="0" w:color="auto"/>
              <w:bottom w:val="single" w:sz="4" w:space="0" w:color="auto"/>
              <w:right w:val="single" w:sz="4" w:space="0" w:color="auto"/>
            </w:tcBorders>
          </w:tcPr>
          <w:p w14:paraId="5B767832" w14:textId="77777777" w:rsidR="00210259" w:rsidRPr="002F18DC" w:rsidRDefault="00210259" w:rsidP="008F0AEF">
            <w:pPr>
              <w:rPr>
                <w:b/>
                <w:bCs/>
                <w:sz w:val="20"/>
                <w:szCs w:val="20"/>
              </w:rPr>
            </w:pPr>
            <w:r w:rsidRPr="002F18DC">
              <w:rPr>
                <w:b/>
                <w:bCs/>
                <w:sz w:val="20"/>
                <w:szCs w:val="20"/>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6AEDED9A" w14:textId="77777777" w:rsidR="00210259" w:rsidRPr="002F18DC" w:rsidRDefault="00210259" w:rsidP="008F0AEF">
            <w:pPr>
              <w:jc w:val="center"/>
              <w:rPr>
                <w:sz w:val="20"/>
                <w:szCs w:val="20"/>
              </w:rPr>
            </w:pPr>
            <w:r w:rsidRPr="002F18DC">
              <w:rPr>
                <w:b/>
                <w:bCs/>
                <w:sz w:val="20"/>
                <w:szCs w:val="20"/>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44C12C2C" w14:textId="77777777" w:rsidR="00210259" w:rsidRPr="002F18DC" w:rsidRDefault="00210259" w:rsidP="008F0AEF">
            <w:pPr>
              <w:jc w:val="center"/>
              <w:rPr>
                <w:b/>
                <w:bCs/>
                <w:sz w:val="20"/>
                <w:szCs w:val="20"/>
              </w:rPr>
            </w:pPr>
            <w:r w:rsidRPr="002F18DC">
              <w:rPr>
                <w:b/>
                <w:bCs/>
                <w:sz w:val="20"/>
                <w:szCs w:val="20"/>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41C87E4F" w14:textId="77777777" w:rsidR="00210259" w:rsidRPr="002F18DC" w:rsidRDefault="00210259" w:rsidP="008F0AEF">
            <w:pPr>
              <w:jc w:val="center"/>
              <w:rPr>
                <w:b/>
                <w:bCs/>
                <w:sz w:val="20"/>
                <w:szCs w:val="20"/>
              </w:rPr>
            </w:pPr>
            <w:r w:rsidRPr="002F18DC">
              <w:rPr>
                <w:b/>
                <w:bCs/>
                <w:sz w:val="20"/>
                <w:szCs w:val="20"/>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43A26CDF" w14:textId="77777777" w:rsidR="00210259" w:rsidRPr="002F18DC" w:rsidRDefault="00210259" w:rsidP="008F0AEF">
            <w:pPr>
              <w:jc w:val="center"/>
              <w:rPr>
                <w:b/>
                <w:bCs/>
                <w:sz w:val="20"/>
                <w:szCs w:val="20"/>
              </w:rPr>
            </w:pPr>
            <w:r w:rsidRPr="002F18DC">
              <w:rPr>
                <w:b/>
                <w:bCs/>
                <w:sz w:val="20"/>
                <w:szCs w:val="20"/>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49378E7D" w14:textId="77777777" w:rsidR="00210259" w:rsidRPr="002F18DC" w:rsidRDefault="00210259" w:rsidP="008F0AEF">
            <w:pPr>
              <w:jc w:val="center"/>
              <w:rPr>
                <w:b/>
                <w:bCs/>
                <w:sz w:val="20"/>
                <w:szCs w:val="20"/>
              </w:rPr>
            </w:pPr>
            <w:r w:rsidRPr="002F18DC">
              <w:rPr>
                <w:b/>
                <w:bCs/>
                <w:sz w:val="20"/>
                <w:szCs w:val="20"/>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73622554" w14:textId="77777777" w:rsidR="00210259" w:rsidRPr="002F18DC" w:rsidRDefault="00210259" w:rsidP="008F0AEF">
            <w:pPr>
              <w:jc w:val="center"/>
              <w:rPr>
                <w:b/>
                <w:bCs/>
                <w:sz w:val="20"/>
                <w:szCs w:val="20"/>
              </w:rPr>
            </w:pPr>
            <w:r w:rsidRPr="002F18DC">
              <w:rPr>
                <w:b/>
                <w:bCs/>
                <w:sz w:val="20"/>
                <w:szCs w:val="20"/>
              </w:rPr>
              <w:t>Mar. 6</w:t>
            </w:r>
          </w:p>
        </w:tc>
        <w:tc>
          <w:tcPr>
            <w:tcW w:w="936" w:type="dxa"/>
            <w:tcBorders>
              <w:top w:val="single" w:sz="4" w:space="0" w:color="auto"/>
              <w:left w:val="single" w:sz="4" w:space="0" w:color="auto"/>
              <w:bottom w:val="single" w:sz="4" w:space="0" w:color="auto"/>
              <w:right w:val="single" w:sz="4" w:space="0" w:color="auto"/>
            </w:tcBorders>
            <w:vAlign w:val="center"/>
          </w:tcPr>
          <w:p w14:paraId="173EF224" w14:textId="77777777" w:rsidR="00210259" w:rsidRPr="002F18DC" w:rsidRDefault="00210259" w:rsidP="008F0AEF">
            <w:pPr>
              <w:jc w:val="center"/>
              <w:rPr>
                <w:b/>
                <w:bCs/>
                <w:sz w:val="20"/>
                <w:szCs w:val="20"/>
              </w:rPr>
            </w:pPr>
            <w:r w:rsidRPr="0002360B">
              <w:rPr>
                <w:b/>
                <w:bCs/>
                <w:sz w:val="20"/>
                <w:szCs w:val="20"/>
              </w:rPr>
              <w:t>Apr. 10</w:t>
            </w:r>
          </w:p>
        </w:tc>
      </w:tr>
      <w:tr w:rsidR="00210259" w:rsidRPr="002F18DC" w14:paraId="5505D8B5" w14:textId="77777777" w:rsidTr="002F18D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83EA9DA" w14:textId="77777777" w:rsidR="00210259" w:rsidRPr="002F18DC" w:rsidRDefault="00210259" w:rsidP="008F0AEF">
            <w:pPr>
              <w:rPr>
                <w:sz w:val="20"/>
                <w:szCs w:val="20"/>
              </w:rPr>
            </w:pPr>
            <w:r w:rsidRPr="002F18DC">
              <w:rPr>
                <w:sz w:val="20"/>
                <w:szCs w:val="20"/>
              </w:rPr>
              <w:t xml:space="preserve">Nicole De </w:t>
            </w:r>
            <w:proofErr w:type="spellStart"/>
            <w:r w:rsidRPr="002F18DC">
              <w:rPr>
                <w:sz w:val="20"/>
                <w:szCs w:val="20"/>
              </w:rPr>
              <w:t>Clouette</w:t>
            </w:r>
            <w:proofErr w:type="spellEnd"/>
            <w:r w:rsidRPr="002F18DC">
              <w:rPr>
                <w:sz w:val="20"/>
                <w:szCs w:val="20"/>
              </w:rPr>
              <w:t xml:space="preserv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06CCAA" w14:textId="77777777" w:rsidR="00210259" w:rsidRPr="002F18DC" w:rsidRDefault="00210259"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65FA4" w14:textId="77777777" w:rsidR="00210259" w:rsidRPr="002F18DC" w:rsidRDefault="00210259"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FCDCE" w14:textId="77777777" w:rsidR="00210259" w:rsidRPr="002F18DC" w:rsidRDefault="00210259"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B7064B" w14:textId="77777777" w:rsidR="00210259" w:rsidRPr="002F18DC" w:rsidRDefault="00210259"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793666" w14:textId="77777777" w:rsidR="00210259" w:rsidRPr="002F18DC" w:rsidRDefault="00210259"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28C803" w14:textId="77777777" w:rsidR="00210259" w:rsidRPr="002F18DC" w:rsidRDefault="00210259"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8DF693" w14:textId="4F54C424" w:rsidR="00210259" w:rsidRPr="002F18DC" w:rsidRDefault="00247CA3" w:rsidP="008F0AEF">
            <w:pPr>
              <w:jc w:val="center"/>
              <w:rPr>
                <w:sz w:val="20"/>
                <w:szCs w:val="20"/>
              </w:rPr>
            </w:pPr>
            <w:r>
              <w:rPr>
                <w:sz w:val="20"/>
                <w:szCs w:val="20"/>
              </w:rPr>
              <w:t>P</w:t>
            </w:r>
          </w:p>
        </w:tc>
      </w:tr>
      <w:tr w:rsidR="0002360B" w:rsidRPr="002F18DC" w14:paraId="6C8F561B"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C57891E" w14:textId="77777777" w:rsidR="0002360B" w:rsidRPr="002F18DC" w:rsidRDefault="0002360B" w:rsidP="008F0AEF">
            <w:pPr>
              <w:rPr>
                <w:sz w:val="20"/>
                <w:szCs w:val="20"/>
              </w:rPr>
            </w:pPr>
            <w:r w:rsidRPr="002F18DC">
              <w:rPr>
                <w:sz w:val="20"/>
                <w:szCs w:val="20"/>
              </w:rPr>
              <w:t xml:space="preserve">Carolyn </w:t>
            </w:r>
            <w:proofErr w:type="spellStart"/>
            <w:r w:rsidRPr="002F18DC">
              <w:rPr>
                <w:sz w:val="20"/>
                <w:szCs w:val="20"/>
              </w:rPr>
              <w:t>Denard</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343D49"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1FD6E2" w14:textId="77777777" w:rsidR="0002360B" w:rsidRPr="002F18DC" w:rsidRDefault="0002360B" w:rsidP="008F0AEF">
            <w:pPr>
              <w:jc w:val="center"/>
              <w:rPr>
                <w:sz w:val="20"/>
                <w:szCs w:val="20"/>
              </w:rPr>
            </w:pPr>
            <w:r w:rsidRPr="002F18DC">
              <w:rPr>
                <w:sz w:val="20"/>
                <w:szCs w:val="20"/>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83933D"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45DA9"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9CF5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145096" w14:textId="77777777" w:rsidR="0002360B" w:rsidRPr="002F18DC" w:rsidRDefault="0002360B" w:rsidP="008F0AEF">
            <w:pPr>
              <w:jc w:val="center"/>
              <w:rPr>
                <w:sz w:val="20"/>
                <w:szCs w:val="20"/>
              </w:rPr>
            </w:pPr>
            <w:r w:rsidRPr="002F18DC">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480BB" w14:textId="29DAEB20" w:rsidR="0002360B" w:rsidRPr="002F18DC" w:rsidRDefault="0002360B" w:rsidP="008F0AEF">
            <w:pPr>
              <w:jc w:val="center"/>
              <w:rPr>
                <w:sz w:val="20"/>
                <w:szCs w:val="20"/>
              </w:rPr>
            </w:pPr>
            <w:r w:rsidRPr="003668E3">
              <w:rPr>
                <w:sz w:val="20"/>
                <w:szCs w:val="20"/>
              </w:rPr>
              <w:t>P</w:t>
            </w:r>
          </w:p>
        </w:tc>
      </w:tr>
      <w:tr w:rsidR="0002360B" w:rsidRPr="002F18DC" w14:paraId="7701EE84"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1E743F1" w14:textId="77777777" w:rsidR="0002360B" w:rsidRPr="002F18DC" w:rsidRDefault="0002360B" w:rsidP="008F0AEF">
            <w:pPr>
              <w:rPr>
                <w:sz w:val="20"/>
                <w:szCs w:val="20"/>
              </w:rPr>
            </w:pPr>
            <w:r w:rsidRPr="002F18DC">
              <w:rPr>
                <w:sz w:val="20"/>
                <w:szCs w:val="20"/>
              </w:rPr>
              <w:t xml:space="preserve">Melanie </w:t>
            </w:r>
            <w:proofErr w:type="spellStart"/>
            <w:r w:rsidRPr="002F18DC">
              <w:rPr>
                <w:sz w:val="20"/>
                <w:szCs w:val="20"/>
              </w:rPr>
              <w:t>DeVore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265163"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0D1ED4"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647905"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836BAB"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C6311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566BD8" w14:textId="77777777" w:rsidR="0002360B" w:rsidRPr="002F18DC" w:rsidRDefault="0002360B" w:rsidP="008F0AEF">
            <w:pPr>
              <w:jc w:val="center"/>
              <w:rPr>
                <w:sz w:val="20"/>
                <w:szCs w:val="20"/>
              </w:rPr>
            </w:pPr>
            <w:r w:rsidRPr="002F18DC">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3F631" w14:textId="4E7AE73E" w:rsidR="0002360B" w:rsidRPr="002F18DC" w:rsidRDefault="0002360B" w:rsidP="008F0AEF">
            <w:pPr>
              <w:jc w:val="center"/>
              <w:rPr>
                <w:sz w:val="20"/>
                <w:szCs w:val="20"/>
              </w:rPr>
            </w:pPr>
            <w:r w:rsidRPr="003668E3">
              <w:rPr>
                <w:sz w:val="20"/>
                <w:szCs w:val="20"/>
              </w:rPr>
              <w:t>P</w:t>
            </w:r>
          </w:p>
        </w:tc>
      </w:tr>
      <w:tr w:rsidR="0002360B" w:rsidRPr="002F18DC" w14:paraId="25A71F9C"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028461A" w14:textId="77777777" w:rsidR="0002360B" w:rsidRPr="002F18DC" w:rsidRDefault="0002360B" w:rsidP="008F0AEF">
            <w:pPr>
              <w:rPr>
                <w:sz w:val="20"/>
                <w:szCs w:val="20"/>
              </w:rPr>
            </w:pPr>
            <w:r w:rsidRPr="002F18DC">
              <w:rPr>
                <w:sz w:val="20"/>
                <w:szCs w:val="20"/>
              </w:rPr>
              <w:t xml:space="preserve">Sarah </w:t>
            </w:r>
            <w:proofErr w:type="spellStart"/>
            <w:r w:rsidRPr="002F18DC">
              <w:rPr>
                <w:sz w:val="20"/>
                <w:szCs w:val="20"/>
              </w:rPr>
              <w:t>Handwerker</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4160892"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539A90"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5D51C4"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16A2AB"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6B6B7E"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076D81" w14:textId="77777777" w:rsidR="0002360B" w:rsidRPr="002F18DC" w:rsidRDefault="0002360B"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7400D88F" w14:textId="5C060D57" w:rsidR="0002360B" w:rsidRPr="002F18DC" w:rsidRDefault="0002360B" w:rsidP="008F0AEF">
            <w:pPr>
              <w:jc w:val="center"/>
              <w:rPr>
                <w:sz w:val="20"/>
                <w:szCs w:val="20"/>
              </w:rPr>
            </w:pPr>
            <w:r w:rsidRPr="003668E3">
              <w:rPr>
                <w:sz w:val="20"/>
                <w:szCs w:val="20"/>
              </w:rPr>
              <w:t>P</w:t>
            </w:r>
          </w:p>
        </w:tc>
      </w:tr>
      <w:tr w:rsidR="0002360B" w:rsidRPr="002F18DC" w14:paraId="6C7FDE2C"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77478B8" w14:textId="77777777" w:rsidR="0002360B" w:rsidRPr="002F18DC" w:rsidRDefault="0002360B" w:rsidP="008F0AEF">
            <w:pPr>
              <w:rPr>
                <w:sz w:val="20"/>
                <w:szCs w:val="20"/>
              </w:rPr>
            </w:pPr>
            <w:r w:rsidRPr="002F18DC">
              <w:rPr>
                <w:sz w:val="20"/>
                <w:szCs w:val="20"/>
              </w:rPr>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7E489"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1756BA"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66FA2F"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98A408"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9A146"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0CB027" w14:textId="77777777" w:rsidR="0002360B" w:rsidRPr="002F18DC" w:rsidRDefault="0002360B"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EAB13" w14:textId="6F3A97F2" w:rsidR="0002360B" w:rsidRPr="002F18DC" w:rsidRDefault="0002360B" w:rsidP="008F0AEF">
            <w:pPr>
              <w:jc w:val="center"/>
              <w:rPr>
                <w:sz w:val="20"/>
                <w:szCs w:val="20"/>
              </w:rPr>
            </w:pPr>
            <w:r w:rsidRPr="003668E3">
              <w:rPr>
                <w:sz w:val="20"/>
                <w:szCs w:val="20"/>
              </w:rPr>
              <w:t>P</w:t>
            </w:r>
          </w:p>
        </w:tc>
      </w:tr>
      <w:tr w:rsidR="0002360B" w:rsidRPr="002F18DC" w14:paraId="0ADB92F3"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07B2BFC" w14:textId="77777777" w:rsidR="0002360B" w:rsidRPr="002F18DC" w:rsidRDefault="0002360B" w:rsidP="008F0AEF">
            <w:pPr>
              <w:rPr>
                <w:sz w:val="20"/>
                <w:szCs w:val="20"/>
              </w:rPr>
            </w:pPr>
            <w:r w:rsidRPr="002F18DC">
              <w:rPr>
                <w:sz w:val="20"/>
                <w:szCs w:val="20"/>
              </w:rPr>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3088A"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B4D21"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ADCC5"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043168"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E83355"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060CFA" w14:textId="77777777" w:rsidR="0002360B" w:rsidRPr="002F18DC" w:rsidRDefault="0002360B"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2C7A6C" w14:textId="35E41AD9" w:rsidR="0002360B" w:rsidRPr="002F18DC" w:rsidRDefault="0002360B" w:rsidP="008F0AEF">
            <w:pPr>
              <w:jc w:val="center"/>
              <w:rPr>
                <w:sz w:val="20"/>
                <w:szCs w:val="20"/>
              </w:rPr>
            </w:pPr>
            <w:r w:rsidRPr="003668E3">
              <w:rPr>
                <w:sz w:val="20"/>
                <w:szCs w:val="20"/>
              </w:rPr>
              <w:t>P</w:t>
            </w:r>
          </w:p>
        </w:tc>
      </w:tr>
      <w:tr w:rsidR="0002360B" w:rsidRPr="002F18DC" w14:paraId="3150C20D"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4A12EB9" w14:textId="77777777" w:rsidR="0002360B" w:rsidRPr="002F18DC" w:rsidRDefault="0002360B" w:rsidP="008F0AEF">
            <w:pPr>
              <w:rPr>
                <w:sz w:val="20"/>
                <w:szCs w:val="20"/>
              </w:rPr>
            </w:pPr>
            <w:proofErr w:type="spellStart"/>
            <w:r w:rsidRPr="002F18DC">
              <w:rPr>
                <w:sz w:val="20"/>
                <w:szCs w:val="20"/>
              </w:rPr>
              <w:t>Alesa</w:t>
            </w:r>
            <w:proofErr w:type="spellEnd"/>
            <w:r w:rsidRPr="002F18DC">
              <w:rPr>
                <w:sz w:val="20"/>
                <w:szCs w:val="20"/>
              </w:rPr>
              <w:t xml:space="preserve">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68A3CC2"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49B83E"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2DED3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F2A795"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13CCFA"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AB8875" w14:textId="77777777" w:rsidR="0002360B" w:rsidRPr="002F18DC" w:rsidRDefault="0002360B" w:rsidP="008F0AEF">
            <w:pPr>
              <w:jc w:val="center"/>
              <w:rPr>
                <w:sz w:val="20"/>
                <w:szCs w:val="20"/>
              </w:rPr>
            </w:pPr>
            <w:r w:rsidRPr="002F18DC">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49ED13D" w14:textId="3AFFB25A" w:rsidR="0002360B" w:rsidRPr="002F18DC" w:rsidRDefault="0002360B" w:rsidP="008F0AEF">
            <w:pPr>
              <w:jc w:val="center"/>
              <w:rPr>
                <w:sz w:val="20"/>
                <w:szCs w:val="20"/>
              </w:rPr>
            </w:pPr>
            <w:r>
              <w:rPr>
                <w:sz w:val="20"/>
                <w:szCs w:val="20"/>
              </w:rPr>
              <w:t>R</w:t>
            </w:r>
          </w:p>
        </w:tc>
      </w:tr>
      <w:tr w:rsidR="0002360B" w:rsidRPr="002F18DC" w14:paraId="3C34C8EE"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2312E5D" w14:textId="77777777" w:rsidR="0002360B" w:rsidRPr="002F18DC" w:rsidRDefault="0002360B" w:rsidP="008F0AEF">
            <w:pPr>
              <w:rPr>
                <w:sz w:val="20"/>
                <w:szCs w:val="20"/>
              </w:rPr>
            </w:pPr>
            <w:proofErr w:type="spellStart"/>
            <w:r w:rsidRPr="002F18DC">
              <w:rPr>
                <w:sz w:val="20"/>
                <w:szCs w:val="20"/>
              </w:rPr>
              <w:t>Catrena</w:t>
            </w:r>
            <w:proofErr w:type="spellEnd"/>
            <w:r w:rsidRPr="002F18DC">
              <w:rPr>
                <w:sz w:val="20"/>
                <w:szCs w:val="20"/>
              </w:rPr>
              <w:t xml:space="preserve"> </w:t>
            </w:r>
            <w:proofErr w:type="spellStart"/>
            <w:r w:rsidRPr="002F18DC">
              <w:rPr>
                <w:sz w:val="20"/>
                <w:szCs w:val="20"/>
              </w:rPr>
              <w:t>Lisse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CC5DC2"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235A941"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FAB01ED"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E75965E"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01699F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E1DA8D0" w14:textId="77777777" w:rsidR="0002360B" w:rsidRPr="002F18DC" w:rsidRDefault="0002360B"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2E23F14" w14:textId="50A44D67" w:rsidR="0002360B" w:rsidRPr="002F18DC" w:rsidRDefault="0002360B" w:rsidP="008F0AEF">
            <w:pPr>
              <w:jc w:val="center"/>
              <w:rPr>
                <w:sz w:val="20"/>
                <w:szCs w:val="20"/>
              </w:rPr>
            </w:pPr>
            <w:r w:rsidRPr="003668E3">
              <w:rPr>
                <w:sz w:val="20"/>
                <w:szCs w:val="20"/>
              </w:rPr>
              <w:t>P</w:t>
            </w:r>
          </w:p>
        </w:tc>
      </w:tr>
      <w:tr w:rsidR="0002360B" w:rsidRPr="002F18DC" w14:paraId="4BE9143E"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00D1BBD" w14:textId="77777777" w:rsidR="0002360B" w:rsidRPr="002F18DC" w:rsidRDefault="0002360B" w:rsidP="008F0AEF">
            <w:pPr>
              <w:rPr>
                <w:sz w:val="20"/>
                <w:szCs w:val="20"/>
              </w:rPr>
            </w:pPr>
            <w:r w:rsidRPr="002F18DC">
              <w:rPr>
                <w:sz w:val="20"/>
                <w:szCs w:val="20"/>
              </w:rPr>
              <w:t>Bryan Marshall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1EE143A"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8AC47F"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7A1044A"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72E8803"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F24C21E"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37C972" w14:textId="77777777" w:rsidR="0002360B" w:rsidRPr="002F18DC" w:rsidRDefault="0002360B" w:rsidP="008F0AEF">
            <w:pPr>
              <w:jc w:val="center"/>
              <w:rPr>
                <w:sz w:val="20"/>
                <w:szCs w:val="20"/>
              </w:rPr>
            </w:pPr>
            <w:r w:rsidRPr="002F18DC">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737FE5F" w14:textId="4A3A3F69" w:rsidR="0002360B" w:rsidRPr="002F18DC" w:rsidRDefault="0002360B" w:rsidP="008F0AEF">
            <w:pPr>
              <w:jc w:val="center"/>
              <w:rPr>
                <w:sz w:val="20"/>
                <w:szCs w:val="20"/>
              </w:rPr>
            </w:pPr>
            <w:r w:rsidRPr="003668E3">
              <w:rPr>
                <w:sz w:val="20"/>
                <w:szCs w:val="20"/>
              </w:rPr>
              <w:t>P</w:t>
            </w:r>
          </w:p>
        </w:tc>
      </w:tr>
      <w:tr w:rsidR="0002360B" w:rsidRPr="002F18DC" w14:paraId="283F7CBF"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7BA71A7" w14:textId="77777777" w:rsidR="0002360B" w:rsidRPr="002F18DC" w:rsidRDefault="0002360B" w:rsidP="008F0AEF">
            <w:pPr>
              <w:rPr>
                <w:sz w:val="20"/>
                <w:szCs w:val="20"/>
              </w:rPr>
            </w:pPr>
            <w:proofErr w:type="spellStart"/>
            <w:r w:rsidRPr="002F18DC">
              <w:rPr>
                <w:sz w:val="20"/>
                <w:szCs w:val="20"/>
              </w:rPr>
              <w:t>Wathsala</w:t>
            </w:r>
            <w:proofErr w:type="spellEnd"/>
            <w:r w:rsidRPr="002F18DC">
              <w:rPr>
                <w:sz w:val="20"/>
                <w:szCs w:val="20"/>
              </w:rPr>
              <w:t xml:space="preserve"> </w:t>
            </w:r>
            <w:proofErr w:type="spellStart"/>
            <w:r w:rsidRPr="002F18DC">
              <w:rPr>
                <w:sz w:val="20"/>
                <w:szCs w:val="20"/>
              </w:rPr>
              <w:t>Medawala</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6A6F96B"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EBB7156"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7F7C68F"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7893F61"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7514780"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430DC7C" w14:textId="77777777" w:rsidR="0002360B" w:rsidRPr="002F18DC" w:rsidRDefault="0002360B" w:rsidP="008F0AEF">
            <w:pPr>
              <w:jc w:val="center"/>
              <w:rPr>
                <w:sz w:val="20"/>
                <w:szCs w:val="20"/>
              </w:rPr>
            </w:pPr>
            <w:r w:rsidRPr="002F18DC">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1873280" w14:textId="379F7490" w:rsidR="0002360B" w:rsidRPr="002F18DC" w:rsidRDefault="0002360B" w:rsidP="008F0AEF">
            <w:pPr>
              <w:jc w:val="center"/>
              <w:rPr>
                <w:sz w:val="20"/>
                <w:szCs w:val="20"/>
              </w:rPr>
            </w:pPr>
            <w:r w:rsidRPr="003668E3">
              <w:rPr>
                <w:sz w:val="20"/>
                <w:szCs w:val="20"/>
              </w:rPr>
              <w:t>P</w:t>
            </w:r>
          </w:p>
        </w:tc>
      </w:tr>
      <w:tr w:rsidR="0002360B" w:rsidRPr="002F18DC" w14:paraId="2E00CEE5"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vAlign w:val="bottom"/>
          </w:tcPr>
          <w:p w14:paraId="26A16323" w14:textId="77777777" w:rsidR="0002360B" w:rsidRPr="002F18DC" w:rsidRDefault="0002360B" w:rsidP="008F0AEF">
            <w:pPr>
              <w:rPr>
                <w:sz w:val="20"/>
                <w:szCs w:val="20"/>
              </w:rPr>
            </w:pPr>
            <w:r w:rsidRPr="002F18DC">
              <w:rPr>
                <w:sz w:val="20"/>
                <w:szCs w:val="20"/>
              </w:rPr>
              <w:t xml:space="preserve">Christine </w:t>
            </w:r>
            <w:proofErr w:type="spellStart"/>
            <w:r w:rsidRPr="002F18DC">
              <w:rPr>
                <w:sz w:val="20"/>
                <w:szCs w:val="20"/>
              </w:rPr>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864EE97"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321C52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195997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32DA03C"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868D937"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961EE65" w14:textId="77777777" w:rsidR="0002360B" w:rsidRPr="002F18DC" w:rsidRDefault="0002360B"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D03633F" w14:textId="7B4794D8" w:rsidR="0002360B" w:rsidRPr="002F18DC" w:rsidRDefault="0002360B" w:rsidP="008F0AEF">
            <w:pPr>
              <w:jc w:val="center"/>
              <w:rPr>
                <w:sz w:val="20"/>
                <w:szCs w:val="20"/>
              </w:rPr>
            </w:pPr>
            <w:r w:rsidRPr="003668E3">
              <w:rPr>
                <w:sz w:val="20"/>
                <w:szCs w:val="20"/>
              </w:rPr>
              <w:t>P</w:t>
            </w:r>
          </w:p>
        </w:tc>
      </w:tr>
      <w:tr w:rsidR="0002360B" w:rsidRPr="002F18DC" w14:paraId="2A112280"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vAlign w:val="bottom"/>
          </w:tcPr>
          <w:p w14:paraId="700DE874" w14:textId="77777777" w:rsidR="0002360B" w:rsidRPr="002F18DC" w:rsidRDefault="0002360B" w:rsidP="008F0AEF">
            <w:pPr>
              <w:rPr>
                <w:sz w:val="20"/>
                <w:szCs w:val="20"/>
              </w:rPr>
            </w:pPr>
            <w:r w:rsidRPr="002F18DC">
              <w:rPr>
                <w:sz w:val="20"/>
                <w:szCs w:val="20"/>
              </w:rPr>
              <w:t xml:space="preserve">Sam </w:t>
            </w:r>
            <w:proofErr w:type="spellStart"/>
            <w:r w:rsidRPr="002F18DC">
              <w:rPr>
                <w:sz w:val="20"/>
                <w:szCs w:val="20"/>
              </w:rPr>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09B8BFF"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A56982B"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7187DFD"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1A640FC"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217B094"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1DDFDFA" w14:textId="77777777" w:rsidR="0002360B" w:rsidRPr="002F18DC" w:rsidRDefault="0002360B"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C652773" w14:textId="04262F30" w:rsidR="0002360B" w:rsidRPr="002F18DC" w:rsidRDefault="0002360B" w:rsidP="008F0AEF">
            <w:pPr>
              <w:jc w:val="center"/>
              <w:rPr>
                <w:sz w:val="20"/>
                <w:szCs w:val="20"/>
              </w:rPr>
            </w:pPr>
            <w:r w:rsidRPr="003668E3">
              <w:rPr>
                <w:sz w:val="20"/>
                <w:szCs w:val="20"/>
              </w:rPr>
              <w:t>P</w:t>
            </w:r>
          </w:p>
        </w:tc>
      </w:tr>
      <w:tr w:rsidR="0002360B" w:rsidRPr="002F18DC" w14:paraId="49F94EFE"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vAlign w:val="bottom"/>
          </w:tcPr>
          <w:p w14:paraId="6E655BE5" w14:textId="77777777" w:rsidR="0002360B" w:rsidRPr="002F18DC" w:rsidRDefault="0002360B" w:rsidP="008F0AEF">
            <w:pPr>
              <w:rPr>
                <w:sz w:val="20"/>
                <w:szCs w:val="20"/>
              </w:rPr>
            </w:pPr>
            <w:r w:rsidRPr="002F18DC">
              <w:rPr>
                <w:sz w:val="20"/>
                <w:szCs w:val="20"/>
              </w:rPr>
              <w:t xml:space="preserve">Gennady </w:t>
            </w:r>
            <w:proofErr w:type="spellStart"/>
            <w:r w:rsidRPr="002F18DC">
              <w:rPr>
                <w:sz w:val="20"/>
                <w:szCs w:val="20"/>
              </w:rPr>
              <w:t>Rudkevich</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1834066"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34A6B95" w14:textId="77777777" w:rsidR="0002360B" w:rsidRPr="002F18DC" w:rsidRDefault="0002360B" w:rsidP="008F0AEF">
            <w:pPr>
              <w:jc w:val="center"/>
              <w:rPr>
                <w:sz w:val="20"/>
                <w:szCs w:val="20"/>
              </w:rPr>
            </w:pPr>
            <w:r w:rsidRPr="002F18DC">
              <w:rPr>
                <w:sz w:val="20"/>
                <w:szCs w:val="20"/>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90E2DDD"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023EFD"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137699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5DAC575" w14:textId="77777777" w:rsidR="0002360B" w:rsidRPr="002F18DC" w:rsidRDefault="0002360B" w:rsidP="008F0AEF">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4D60029" w14:textId="47ECFCB5" w:rsidR="0002360B" w:rsidRPr="002F18DC" w:rsidRDefault="0002360B" w:rsidP="008F0AEF">
            <w:pPr>
              <w:jc w:val="center"/>
              <w:rPr>
                <w:sz w:val="20"/>
                <w:szCs w:val="20"/>
              </w:rPr>
            </w:pPr>
            <w:r w:rsidRPr="003668E3">
              <w:rPr>
                <w:sz w:val="20"/>
                <w:szCs w:val="20"/>
              </w:rPr>
              <w:t>P</w:t>
            </w:r>
          </w:p>
        </w:tc>
      </w:tr>
      <w:tr w:rsidR="0002360B" w:rsidRPr="002F18DC" w14:paraId="410DCD3C"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vAlign w:val="bottom"/>
          </w:tcPr>
          <w:p w14:paraId="7C583DA3" w14:textId="77777777" w:rsidR="0002360B" w:rsidRPr="002F18DC" w:rsidRDefault="0002360B" w:rsidP="008F0AEF">
            <w:pPr>
              <w:rPr>
                <w:sz w:val="20"/>
                <w:szCs w:val="20"/>
              </w:rPr>
            </w:pPr>
            <w:r w:rsidRPr="002F18DC">
              <w:rPr>
                <w:sz w:val="20"/>
                <w:szCs w:val="20"/>
              </w:rPr>
              <w:t>Christina Smith (Vice-Chair)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0418E79"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E03A653"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D10AD58"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3D6F817"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8F84C37"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890CD39" w14:textId="77777777" w:rsidR="0002360B" w:rsidRPr="002F18DC" w:rsidRDefault="0002360B" w:rsidP="008F0AEF">
            <w:pPr>
              <w:jc w:val="center"/>
              <w:rPr>
                <w:sz w:val="20"/>
                <w:szCs w:val="20"/>
              </w:rPr>
            </w:pPr>
            <w:r w:rsidRPr="002F18DC">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61DC520" w14:textId="69A79567" w:rsidR="0002360B" w:rsidRPr="002F18DC" w:rsidRDefault="0002360B" w:rsidP="008F0AEF">
            <w:pPr>
              <w:jc w:val="center"/>
              <w:rPr>
                <w:sz w:val="20"/>
                <w:szCs w:val="20"/>
              </w:rPr>
            </w:pPr>
            <w:r w:rsidRPr="003668E3">
              <w:rPr>
                <w:sz w:val="20"/>
                <w:szCs w:val="20"/>
              </w:rPr>
              <w:t>P</w:t>
            </w:r>
          </w:p>
        </w:tc>
      </w:tr>
      <w:tr w:rsidR="0002360B" w:rsidRPr="002F18DC" w14:paraId="448CB25A" w14:textId="77777777" w:rsidTr="00025341">
        <w:trPr>
          <w:trHeight w:val="338"/>
        </w:trPr>
        <w:tc>
          <w:tcPr>
            <w:tcW w:w="3336" w:type="dxa"/>
            <w:tcBorders>
              <w:top w:val="single" w:sz="4" w:space="0" w:color="auto"/>
              <w:left w:val="double" w:sz="4" w:space="0" w:color="auto"/>
              <w:bottom w:val="single" w:sz="4" w:space="0" w:color="auto"/>
              <w:right w:val="single" w:sz="4" w:space="0" w:color="auto"/>
            </w:tcBorders>
            <w:vAlign w:val="bottom"/>
          </w:tcPr>
          <w:p w14:paraId="49873FB4" w14:textId="77777777" w:rsidR="0002360B" w:rsidRPr="002F18DC" w:rsidRDefault="0002360B" w:rsidP="008F0AEF">
            <w:pPr>
              <w:rPr>
                <w:sz w:val="20"/>
                <w:szCs w:val="20"/>
              </w:rPr>
            </w:pPr>
            <w:r w:rsidRPr="002F18DC">
              <w:rPr>
                <w:sz w:val="20"/>
                <w:szCs w:val="20"/>
              </w:rPr>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4A3AC1D"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60EB890"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DCB58F6"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D209787" w14:textId="77777777" w:rsidR="0002360B" w:rsidRPr="002F18DC" w:rsidRDefault="0002360B" w:rsidP="008F0AEF">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661FECC" w14:textId="77777777" w:rsidR="0002360B" w:rsidRPr="002F18DC" w:rsidRDefault="0002360B" w:rsidP="008F0AEF">
            <w:pPr>
              <w:jc w:val="center"/>
              <w:rPr>
                <w:sz w:val="20"/>
                <w:szCs w:val="20"/>
              </w:rPr>
            </w:pPr>
            <w:r w:rsidRPr="002F18DC">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8788930" w14:textId="77777777" w:rsidR="0002360B" w:rsidRPr="002F18DC" w:rsidRDefault="0002360B" w:rsidP="008F0AEF">
            <w:pPr>
              <w:jc w:val="center"/>
              <w:rPr>
                <w:sz w:val="20"/>
                <w:szCs w:val="20"/>
              </w:rPr>
            </w:pPr>
            <w:r w:rsidRPr="002F18DC">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333CF4D" w14:textId="5D1B6E9A" w:rsidR="0002360B" w:rsidRPr="002F18DC" w:rsidRDefault="0002360B" w:rsidP="008F0AEF">
            <w:pPr>
              <w:jc w:val="center"/>
              <w:rPr>
                <w:sz w:val="20"/>
                <w:szCs w:val="20"/>
              </w:rPr>
            </w:pPr>
            <w:r w:rsidRPr="003668E3">
              <w:rPr>
                <w:sz w:val="20"/>
                <w:szCs w:val="20"/>
              </w:rPr>
              <w:t>P</w:t>
            </w:r>
          </w:p>
        </w:tc>
      </w:tr>
    </w:tbl>
    <w:p w14:paraId="506161AA" w14:textId="77777777" w:rsidR="00210259" w:rsidRDefault="00210259" w:rsidP="00210259">
      <w:pPr>
        <w:rPr>
          <w:b/>
          <w:bCs/>
        </w:rPr>
      </w:pPr>
    </w:p>
    <w:p w14:paraId="29D6C0AB" w14:textId="676C2DC3" w:rsidR="00A576FB" w:rsidRPr="00794830" w:rsidRDefault="00865BBB" w:rsidP="00A576FB">
      <w:r w:rsidRPr="00E362A9">
        <w:rPr>
          <w:b/>
          <w:bCs/>
        </w:rPr>
        <w:t>Motions brought to the Senate floor:</w:t>
      </w:r>
    </w:p>
    <w:p w14:paraId="141F1E03" w14:textId="77777777" w:rsidR="00A576FB" w:rsidRPr="00B61EB6" w:rsidRDefault="00A576FB" w:rsidP="00A576FB">
      <w:pPr>
        <w:rPr>
          <w:sz w:val="20"/>
          <w:szCs w:val="20"/>
        </w:rPr>
      </w:pPr>
    </w:p>
    <w:tbl>
      <w:tblPr>
        <w:tblStyle w:val="TableGrid"/>
        <w:tblW w:w="0" w:type="auto"/>
        <w:tblLook w:val="04A0" w:firstRow="1" w:lastRow="0" w:firstColumn="1" w:lastColumn="0" w:noHBand="0" w:noVBand="1"/>
      </w:tblPr>
      <w:tblGrid>
        <w:gridCol w:w="1733"/>
        <w:gridCol w:w="8419"/>
      </w:tblGrid>
      <w:tr w:rsidR="00794830" w14:paraId="65C08EA6" w14:textId="77777777" w:rsidTr="00794830">
        <w:trPr>
          <w:trHeight w:val="260"/>
        </w:trPr>
        <w:tc>
          <w:tcPr>
            <w:tcW w:w="1733" w:type="dxa"/>
            <w:shd w:val="clear" w:color="auto" w:fill="FDE9D9" w:themeFill="accent6" w:themeFillTint="33"/>
          </w:tcPr>
          <w:p w14:paraId="0910BC4D" w14:textId="77777777" w:rsidR="00794830" w:rsidRDefault="00794830" w:rsidP="0007098F">
            <w:pPr>
              <w:rPr>
                <w:b/>
                <w:iCs/>
                <w:sz w:val="20"/>
                <w:szCs w:val="20"/>
              </w:rPr>
            </w:pPr>
            <w:r>
              <w:rPr>
                <w:b/>
                <w:iCs/>
                <w:sz w:val="20"/>
                <w:szCs w:val="20"/>
              </w:rPr>
              <w:t>Motion Number:</w:t>
            </w:r>
          </w:p>
          <w:p w14:paraId="62149A15" w14:textId="6050C1BF" w:rsidR="00794830" w:rsidRPr="007678DE" w:rsidRDefault="00794830" w:rsidP="0007098F">
            <w:pPr>
              <w:rPr>
                <w:sz w:val="20"/>
                <w:szCs w:val="20"/>
              </w:rPr>
            </w:pPr>
            <w:r w:rsidRPr="007678DE">
              <w:rPr>
                <w:iCs/>
                <w:sz w:val="20"/>
                <w:szCs w:val="20"/>
              </w:rPr>
              <w:t>1920.APC</w:t>
            </w:r>
            <w:r w:rsidRPr="001D2AB2">
              <w:rPr>
                <w:iCs/>
                <w:sz w:val="20"/>
                <w:szCs w:val="20"/>
              </w:rPr>
              <w:t>.</w:t>
            </w:r>
            <w:r w:rsidR="001D2AB2" w:rsidRPr="001D2AB2">
              <w:rPr>
                <w:iCs/>
                <w:sz w:val="20"/>
                <w:szCs w:val="20"/>
              </w:rPr>
              <w:t>001.P</w:t>
            </w:r>
          </w:p>
          <w:p w14:paraId="4B67F5BD" w14:textId="77777777" w:rsidR="00794830" w:rsidRDefault="00794830" w:rsidP="0007098F">
            <w:pPr>
              <w:rPr>
                <w:b/>
                <w:sz w:val="20"/>
                <w:szCs w:val="20"/>
              </w:rPr>
            </w:pPr>
          </w:p>
        </w:tc>
        <w:tc>
          <w:tcPr>
            <w:tcW w:w="8419" w:type="dxa"/>
            <w:shd w:val="clear" w:color="auto" w:fill="FDE9D9" w:themeFill="accent6" w:themeFillTint="33"/>
          </w:tcPr>
          <w:p w14:paraId="6E4B32E4" w14:textId="77777777" w:rsidR="00794830" w:rsidRPr="007678DE" w:rsidRDefault="00794830" w:rsidP="0007098F">
            <w:pPr>
              <w:shd w:val="clear" w:color="auto" w:fill="FDE9D9" w:themeFill="accent6" w:themeFillTint="33"/>
              <w:rPr>
                <w:b/>
                <w:color w:val="000000" w:themeColor="text1"/>
                <w:sz w:val="20"/>
                <w:szCs w:val="20"/>
                <w:shd w:val="clear" w:color="auto" w:fill="FFFFFF"/>
              </w:rPr>
            </w:pPr>
            <w:r w:rsidRPr="007678DE">
              <w:rPr>
                <w:b/>
                <w:sz w:val="20"/>
                <w:szCs w:val="20"/>
              </w:rPr>
              <w:t xml:space="preserve">Title of Motion: </w:t>
            </w:r>
          </w:p>
          <w:p w14:paraId="55EC4FDC" w14:textId="78BC35E3" w:rsidR="00794830" w:rsidRDefault="00794830" w:rsidP="0007098F">
            <w:pPr>
              <w:shd w:val="clear" w:color="auto" w:fill="FDE9D9" w:themeFill="accent6" w:themeFillTint="33"/>
              <w:rPr>
                <w:b/>
                <w:sz w:val="20"/>
                <w:szCs w:val="20"/>
              </w:rPr>
            </w:pPr>
            <w:r w:rsidRPr="00B61EB6">
              <w:rPr>
                <w:sz w:val="20"/>
                <w:szCs w:val="20"/>
              </w:rPr>
              <w:t xml:space="preserve">Proposed Revision to add Copyright Policy to </w:t>
            </w:r>
            <w:r w:rsidRPr="00B61EB6">
              <w:rPr>
                <w:b/>
                <w:sz w:val="20"/>
                <w:szCs w:val="20"/>
              </w:rPr>
              <w:t>D2L Splash Page</w:t>
            </w:r>
          </w:p>
        </w:tc>
      </w:tr>
      <w:tr w:rsidR="00794830" w:rsidRPr="007678DE" w14:paraId="5B83638C" w14:textId="77777777" w:rsidTr="0007098F">
        <w:trPr>
          <w:trHeight w:val="260"/>
        </w:trPr>
        <w:tc>
          <w:tcPr>
            <w:tcW w:w="1733" w:type="dxa"/>
            <w:shd w:val="clear" w:color="auto" w:fill="auto"/>
          </w:tcPr>
          <w:p w14:paraId="272D6D71" w14:textId="77777777" w:rsidR="00794830" w:rsidRDefault="00794830" w:rsidP="0007098F">
            <w:pPr>
              <w:rPr>
                <w:b/>
                <w:sz w:val="20"/>
                <w:szCs w:val="20"/>
              </w:rPr>
            </w:pPr>
            <w:r w:rsidRPr="00B61EB6">
              <w:rPr>
                <w:b/>
                <w:sz w:val="20"/>
                <w:szCs w:val="20"/>
              </w:rPr>
              <w:t>Motion Type</w:t>
            </w:r>
            <w:r>
              <w:rPr>
                <w:b/>
                <w:sz w:val="20"/>
                <w:szCs w:val="20"/>
              </w:rPr>
              <w:t>:</w:t>
            </w:r>
          </w:p>
          <w:p w14:paraId="14CC5A8D" w14:textId="77777777" w:rsidR="00794830" w:rsidRDefault="00794830" w:rsidP="0007098F">
            <w:pPr>
              <w:rPr>
                <w:b/>
                <w:iCs/>
                <w:sz w:val="20"/>
                <w:szCs w:val="20"/>
              </w:rPr>
            </w:pPr>
            <w:r w:rsidRPr="00B61EB6">
              <w:rPr>
                <w:sz w:val="20"/>
                <w:szCs w:val="20"/>
              </w:rPr>
              <w:t>Policy Recommendation</w:t>
            </w:r>
          </w:p>
        </w:tc>
        <w:tc>
          <w:tcPr>
            <w:tcW w:w="8419" w:type="dxa"/>
            <w:shd w:val="clear" w:color="auto" w:fill="auto"/>
          </w:tcPr>
          <w:p w14:paraId="7EBA862C" w14:textId="77777777" w:rsidR="00794830" w:rsidRDefault="00794830" w:rsidP="0007098F">
            <w:pPr>
              <w:rPr>
                <w:b/>
                <w:sz w:val="20"/>
                <w:szCs w:val="20"/>
              </w:rPr>
            </w:pPr>
            <w:r>
              <w:rPr>
                <w:b/>
                <w:sz w:val="20"/>
                <w:szCs w:val="20"/>
              </w:rPr>
              <w:t xml:space="preserve">Motion Text: </w:t>
            </w:r>
          </w:p>
          <w:p w14:paraId="69662E81" w14:textId="77777777" w:rsidR="00794830" w:rsidRDefault="00794830" w:rsidP="00794830">
            <w:pPr>
              <w:rPr>
                <w:color w:val="000000" w:themeColor="text1"/>
                <w:sz w:val="20"/>
                <w:szCs w:val="20"/>
                <w:shd w:val="clear" w:color="auto" w:fill="FFFFFF"/>
              </w:rPr>
            </w:pPr>
            <w:r w:rsidRPr="00B61EB6">
              <w:rPr>
                <w:color w:val="000000" w:themeColor="text1"/>
                <w:sz w:val="20"/>
                <w:szCs w:val="20"/>
                <w:shd w:val="clear" w:color="auto" w:fill="FFFFFF"/>
              </w:rPr>
              <w:t xml:space="preserve">To add </w:t>
            </w:r>
            <w:r>
              <w:rPr>
                <w:color w:val="000000" w:themeColor="text1"/>
                <w:sz w:val="20"/>
                <w:szCs w:val="20"/>
                <w:shd w:val="clear" w:color="auto" w:fill="FFFFFF"/>
              </w:rPr>
              <w:t>a link to the</w:t>
            </w:r>
            <w:r w:rsidRPr="00B61EB6">
              <w:rPr>
                <w:color w:val="000000" w:themeColor="text1"/>
                <w:sz w:val="20"/>
                <w:szCs w:val="20"/>
                <w:shd w:val="clear" w:color="auto" w:fill="FFFFFF"/>
              </w:rPr>
              <w:t xml:space="preserve"> University System of Georgia’s Copyright Policy (including the Fair Use Checklist) to the </w:t>
            </w:r>
            <w:r>
              <w:rPr>
                <w:color w:val="000000" w:themeColor="text1"/>
                <w:sz w:val="20"/>
                <w:szCs w:val="20"/>
                <w:shd w:val="clear" w:color="auto" w:fill="FFFFFF"/>
              </w:rPr>
              <w:t xml:space="preserve">Georgia View </w:t>
            </w:r>
            <w:r w:rsidRPr="00B61EB6">
              <w:rPr>
                <w:color w:val="000000" w:themeColor="text1"/>
                <w:sz w:val="20"/>
                <w:szCs w:val="20"/>
                <w:shd w:val="clear" w:color="auto" w:fill="FFFFFF"/>
              </w:rPr>
              <w:t>splash page</w:t>
            </w:r>
            <w:r>
              <w:rPr>
                <w:color w:val="000000" w:themeColor="text1"/>
                <w:sz w:val="20"/>
                <w:szCs w:val="20"/>
                <w:shd w:val="clear" w:color="auto" w:fill="FFFFFF"/>
              </w:rPr>
              <w:t xml:space="preserve"> (</w:t>
            </w:r>
            <w:r w:rsidRPr="00B61EB6">
              <w:rPr>
                <w:color w:val="000000" w:themeColor="text1"/>
                <w:sz w:val="20"/>
                <w:szCs w:val="20"/>
                <w:shd w:val="clear" w:color="auto" w:fill="FFFFFF"/>
              </w:rPr>
              <w:t>D2L</w:t>
            </w:r>
            <w:r>
              <w:rPr>
                <w:color w:val="000000" w:themeColor="text1"/>
                <w:sz w:val="20"/>
                <w:szCs w:val="20"/>
                <w:shd w:val="clear" w:color="auto" w:fill="FFFFFF"/>
              </w:rPr>
              <w:t>/</w:t>
            </w:r>
            <w:proofErr w:type="spellStart"/>
            <w:r>
              <w:rPr>
                <w:color w:val="000000" w:themeColor="text1"/>
                <w:sz w:val="20"/>
                <w:szCs w:val="20"/>
                <w:shd w:val="clear" w:color="auto" w:fill="FFFFFF"/>
              </w:rPr>
              <w:t>Brightspace</w:t>
            </w:r>
            <w:proofErr w:type="spellEnd"/>
            <w:r>
              <w:rPr>
                <w:color w:val="000000" w:themeColor="text1"/>
                <w:sz w:val="20"/>
                <w:szCs w:val="20"/>
                <w:shd w:val="clear" w:color="auto" w:fill="FFFFFF"/>
              </w:rPr>
              <w:t xml:space="preserve"> Learning Management)</w:t>
            </w:r>
            <w:r w:rsidRPr="00B61EB6">
              <w:rPr>
                <w:color w:val="000000" w:themeColor="text1"/>
                <w:sz w:val="20"/>
                <w:szCs w:val="20"/>
                <w:shd w:val="clear" w:color="auto" w:fill="FFFFFF"/>
              </w:rPr>
              <w:t xml:space="preserve">. </w:t>
            </w:r>
          </w:p>
          <w:p w14:paraId="065A9143" w14:textId="77777777" w:rsidR="00794830" w:rsidRPr="007678DE" w:rsidRDefault="00794830" w:rsidP="00794830">
            <w:pPr>
              <w:rPr>
                <w:color w:val="000000" w:themeColor="text1"/>
                <w:sz w:val="20"/>
                <w:szCs w:val="20"/>
                <w:shd w:val="clear" w:color="auto" w:fill="FFFFFF"/>
              </w:rPr>
            </w:pPr>
          </w:p>
        </w:tc>
      </w:tr>
      <w:tr w:rsidR="00794830" w14:paraId="618A3603" w14:textId="77777777" w:rsidTr="0007098F">
        <w:trPr>
          <w:trHeight w:val="260"/>
        </w:trPr>
        <w:tc>
          <w:tcPr>
            <w:tcW w:w="10152" w:type="dxa"/>
            <w:gridSpan w:val="2"/>
            <w:shd w:val="clear" w:color="auto" w:fill="auto"/>
          </w:tcPr>
          <w:p w14:paraId="581C58D4" w14:textId="77777777" w:rsidR="00F03C55" w:rsidRDefault="00794830" w:rsidP="00794830">
            <w:pPr>
              <w:rPr>
                <w:sz w:val="20"/>
                <w:szCs w:val="20"/>
              </w:rPr>
            </w:pPr>
            <w:r>
              <w:rPr>
                <w:b/>
                <w:sz w:val="20"/>
                <w:szCs w:val="20"/>
              </w:rPr>
              <w:t xml:space="preserve">Purpose: </w:t>
            </w:r>
            <w:r w:rsidRPr="00B61EB6">
              <w:rPr>
                <w:sz w:val="20"/>
                <w:szCs w:val="20"/>
              </w:rPr>
              <w:t xml:space="preserve">The USG (and therefore GC) already has a Copyright Policy. The impetus for this motion is that faculty are not aware of the Copyright Policy and the Fair Use Checklist. APC met with Susan Kerr (Chief Informational Officer), Jim Berger (Director of Center for Teaching and Learning), and Barbara </w:t>
            </w:r>
            <w:proofErr w:type="spellStart"/>
            <w:r w:rsidRPr="00B61EB6">
              <w:rPr>
                <w:sz w:val="20"/>
                <w:szCs w:val="20"/>
              </w:rPr>
              <w:t>Szyjko</w:t>
            </w:r>
            <w:proofErr w:type="spellEnd"/>
            <w:r w:rsidRPr="00B61EB6">
              <w:rPr>
                <w:sz w:val="20"/>
                <w:szCs w:val="20"/>
              </w:rPr>
              <w:t xml:space="preserve"> (Instructional Technology Staff Specialist) on Novembe</w:t>
            </w:r>
            <w:r>
              <w:rPr>
                <w:sz w:val="20"/>
                <w:szCs w:val="20"/>
              </w:rPr>
              <w:t>r 1, 2019 to discuss adding a link</w:t>
            </w:r>
            <w:r w:rsidRPr="00B61EB6">
              <w:rPr>
                <w:sz w:val="20"/>
                <w:szCs w:val="20"/>
              </w:rPr>
              <w:t xml:space="preserve"> to the D2L (Georgia View) splash page:</w:t>
            </w:r>
            <w:r w:rsidR="00F03C55">
              <w:rPr>
                <w:sz w:val="20"/>
                <w:szCs w:val="20"/>
              </w:rPr>
              <w:t xml:space="preserve"> </w:t>
            </w:r>
            <w:r w:rsidRPr="00B61EB6">
              <w:rPr>
                <w:sz w:val="20"/>
                <w:szCs w:val="20"/>
              </w:rPr>
              <w:t>gcsu.view.usg.edu</w:t>
            </w:r>
          </w:p>
          <w:p w14:paraId="34209894" w14:textId="40BE1AF1" w:rsidR="00F03C55" w:rsidRPr="00794830" w:rsidRDefault="00F03C55" w:rsidP="00794830">
            <w:pPr>
              <w:rPr>
                <w:sz w:val="20"/>
                <w:szCs w:val="20"/>
              </w:rPr>
            </w:pPr>
          </w:p>
        </w:tc>
      </w:tr>
      <w:tr w:rsidR="00794830" w14:paraId="4A2A77AC" w14:textId="77777777" w:rsidTr="000D5F2D">
        <w:trPr>
          <w:trHeight w:val="341"/>
        </w:trPr>
        <w:tc>
          <w:tcPr>
            <w:tcW w:w="10152" w:type="dxa"/>
            <w:gridSpan w:val="2"/>
            <w:shd w:val="clear" w:color="auto" w:fill="auto"/>
          </w:tcPr>
          <w:p w14:paraId="1C91C3F7" w14:textId="77777777" w:rsidR="00794830" w:rsidRDefault="00794830" w:rsidP="0007098F">
            <w:pPr>
              <w:rPr>
                <w:b/>
                <w:sz w:val="20"/>
                <w:szCs w:val="20"/>
              </w:rPr>
            </w:pPr>
            <w:r>
              <w:rPr>
                <w:b/>
                <w:sz w:val="20"/>
                <w:szCs w:val="20"/>
              </w:rPr>
              <w:t xml:space="preserve">Outcome: </w:t>
            </w:r>
          </w:p>
          <w:p w14:paraId="54C5FA91" w14:textId="3B57F35E" w:rsidR="00794830" w:rsidRPr="00794830" w:rsidRDefault="00794830" w:rsidP="000D5F2D">
            <w:pPr>
              <w:rPr>
                <w:sz w:val="20"/>
                <w:szCs w:val="20"/>
              </w:rPr>
            </w:pPr>
            <w:r>
              <w:rPr>
                <w:color w:val="000000" w:themeColor="text1"/>
                <w:sz w:val="20"/>
                <w:szCs w:val="20"/>
                <w:shd w:val="clear" w:color="auto" w:fill="FFFFFF"/>
              </w:rPr>
              <w:t>This motion was approved by APC on March 6</w:t>
            </w:r>
            <w:r w:rsidRPr="00794830">
              <w:rPr>
                <w:color w:val="000000" w:themeColor="text1"/>
                <w:sz w:val="20"/>
                <w:szCs w:val="20"/>
                <w:shd w:val="clear" w:color="auto" w:fill="FFFFFF"/>
                <w:vertAlign w:val="superscript"/>
              </w:rPr>
              <w:t>th</w:t>
            </w:r>
            <w:r>
              <w:rPr>
                <w:color w:val="000000" w:themeColor="text1"/>
                <w:sz w:val="20"/>
                <w:szCs w:val="20"/>
                <w:shd w:val="clear" w:color="auto" w:fill="FFFFFF"/>
              </w:rPr>
              <w:t xml:space="preserve"> and brought to ECUS on the same day. The motion was presented to the University Senate electronically on April 24</w:t>
            </w:r>
            <w:r w:rsidRPr="00794830">
              <w:rPr>
                <w:color w:val="000000" w:themeColor="text1"/>
                <w:sz w:val="20"/>
                <w:szCs w:val="20"/>
                <w:shd w:val="clear" w:color="auto" w:fill="FFFFFF"/>
                <w:vertAlign w:val="superscript"/>
              </w:rPr>
              <w:t>th</w:t>
            </w:r>
            <w:r w:rsidRPr="000D5F2D">
              <w:rPr>
                <w:color w:val="000000" w:themeColor="text1"/>
                <w:sz w:val="20"/>
                <w:szCs w:val="20"/>
                <w:shd w:val="clear" w:color="auto" w:fill="FFFFFF"/>
              </w:rPr>
              <w:t>. The Senate approved the motion via electronic vote</w:t>
            </w:r>
            <w:r w:rsidR="000D5F2D" w:rsidRPr="000D5F2D">
              <w:rPr>
                <w:color w:val="000000" w:themeColor="text1"/>
                <w:sz w:val="20"/>
                <w:szCs w:val="20"/>
                <w:shd w:val="clear" w:color="auto" w:fill="FFFFFF"/>
              </w:rPr>
              <w:t xml:space="preserve"> 30-0</w:t>
            </w:r>
            <w:r w:rsidRPr="000D5F2D">
              <w:rPr>
                <w:color w:val="000000" w:themeColor="text1"/>
                <w:sz w:val="20"/>
                <w:szCs w:val="20"/>
                <w:shd w:val="clear" w:color="auto" w:fill="FFFFFF"/>
              </w:rPr>
              <w:t xml:space="preserve">. </w:t>
            </w:r>
          </w:p>
        </w:tc>
      </w:tr>
    </w:tbl>
    <w:p w14:paraId="733D75F1" w14:textId="77777777" w:rsidR="00794830" w:rsidRPr="00B61EB6" w:rsidRDefault="00794830" w:rsidP="00794830">
      <w:pPr>
        <w:rPr>
          <w:sz w:val="20"/>
          <w:szCs w:val="20"/>
        </w:rPr>
      </w:pPr>
    </w:p>
    <w:tbl>
      <w:tblPr>
        <w:tblStyle w:val="TableGrid"/>
        <w:tblW w:w="0" w:type="auto"/>
        <w:tblLook w:val="04A0" w:firstRow="1" w:lastRow="0" w:firstColumn="1" w:lastColumn="0" w:noHBand="0" w:noVBand="1"/>
      </w:tblPr>
      <w:tblGrid>
        <w:gridCol w:w="1733"/>
        <w:gridCol w:w="8419"/>
      </w:tblGrid>
      <w:tr w:rsidR="00794830" w14:paraId="174AB301" w14:textId="77777777" w:rsidTr="0007098F">
        <w:trPr>
          <w:trHeight w:val="260"/>
        </w:trPr>
        <w:tc>
          <w:tcPr>
            <w:tcW w:w="1733" w:type="dxa"/>
            <w:shd w:val="clear" w:color="auto" w:fill="FDE9D9" w:themeFill="accent6" w:themeFillTint="33"/>
          </w:tcPr>
          <w:p w14:paraId="17E28D13" w14:textId="77777777" w:rsidR="00794830" w:rsidRDefault="00794830" w:rsidP="0007098F">
            <w:pPr>
              <w:rPr>
                <w:b/>
                <w:iCs/>
                <w:sz w:val="20"/>
                <w:szCs w:val="20"/>
              </w:rPr>
            </w:pPr>
            <w:r>
              <w:rPr>
                <w:b/>
                <w:iCs/>
                <w:sz w:val="20"/>
                <w:szCs w:val="20"/>
              </w:rPr>
              <w:t>Motion Number:</w:t>
            </w:r>
          </w:p>
          <w:p w14:paraId="607F07A9" w14:textId="68419F31" w:rsidR="001D2AB2" w:rsidRPr="007678DE" w:rsidRDefault="001D2AB2" w:rsidP="001D2AB2">
            <w:pPr>
              <w:rPr>
                <w:sz w:val="20"/>
                <w:szCs w:val="20"/>
              </w:rPr>
            </w:pPr>
            <w:r w:rsidRPr="007678DE">
              <w:rPr>
                <w:iCs/>
                <w:sz w:val="20"/>
                <w:szCs w:val="20"/>
              </w:rPr>
              <w:t>1920.APC.</w:t>
            </w:r>
            <w:r>
              <w:rPr>
                <w:iCs/>
                <w:sz w:val="20"/>
                <w:szCs w:val="20"/>
              </w:rPr>
              <w:t>002</w:t>
            </w:r>
            <w:r w:rsidRPr="001D2AB2">
              <w:rPr>
                <w:iCs/>
                <w:sz w:val="20"/>
                <w:szCs w:val="20"/>
              </w:rPr>
              <w:t>.P</w:t>
            </w:r>
          </w:p>
          <w:p w14:paraId="740FF115" w14:textId="77777777" w:rsidR="00794830" w:rsidRDefault="00794830" w:rsidP="0007098F">
            <w:pPr>
              <w:rPr>
                <w:b/>
                <w:sz w:val="20"/>
                <w:szCs w:val="20"/>
              </w:rPr>
            </w:pPr>
          </w:p>
        </w:tc>
        <w:tc>
          <w:tcPr>
            <w:tcW w:w="8419" w:type="dxa"/>
            <w:shd w:val="clear" w:color="auto" w:fill="FDE9D9" w:themeFill="accent6" w:themeFillTint="33"/>
          </w:tcPr>
          <w:p w14:paraId="22A09769" w14:textId="77777777" w:rsidR="00794830" w:rsidRPr="007678DE" w:rsidRDefault="00794830" w:rsidP="0007098F">
            <w:pPr>
              <w:shd w:val="clear" w:color="auto" w:fill="FDE9D9" w:themeFill="accent6" w:themeFillTint="33"/>
              <w:rPr>
                <w:b/>
                <w:color w:val="000000" w:themeColor="text1"/>
                <w:sz w:val="20"/>
                <w:szCs w:val="20"/>
                <w:shd w:val="clear" w:color="auto" w:fill="FFFFFF"/>
              </w:rPr>
            </w:pPr>
            <w:r w:rsidRPr="007678DE">
              <w:rPr>
                <w:b/>
                <w:sz w:val="20"/>
                <w:szCs w:val="20"/>
              </w:rPr>
              <w:t xml:space="preserve">Title of Motion: </w:t>
            </w:r>
          </w:p>
          <w:p w14:paraId="05DD5676" w14:textId="2AFB3507" w:rsidR="00794830" w:rsidRDefault="00794830" w:rsidP="0007098F">
            <w:pPr>
              <w:shd w:val="clear" w:color="auto" w:fill="FDE9D9" w:themeFill="accent6" w:themeFillTint="33"/>
              <w:rPr>
                <w:b/>
                <w:sz w:val="20"/>
                <w:szCs w:val="20"/>
              </w:rPr>
            </w:pPr>
            <w:r w:rsidRPr="00B61EB6">
              <w:rPr>
                <w:sz w:val="20"/>
                <w:szCs w:val="20"/>
              </w:rPr>
              <w:t xml:space="preserve">Proposed Revision to add Copyright Policy to </w:t>
            </w:r>
            <w:r w:rsidRPr="00B61EB6">
              <w:rPr>
                <w:b/>
                <w:sz w:val="20"/>
                <w:szCs w:val="20"/>
              </w:rPr>
              <w:t>Annual Compliance Training</w:t>
            </w:r>
          </w:p>
        </w:tc>
      </w:tr>
      <w:tr w:rsidR="00794830" w14:paraId="10C9AEA1" w14:textId="77777777" w:rsidTr="0007098F">
        <w:trPr>
          <w:trHeight w:val="260"/>
        </w:trPr>
        <w:tc>
          <w:tcPr>
            <w:tcW w:w="1733" w:type="dxa"/>
            <w:shd w:val="clear" w:color="auto" w:fill="auto"/>
          </w:tcPr>
          <w:p w14:paraId="27C1E171" w14:textId="77777777" w:rsidR="00794830" w:rsidRDefault="00794830" w:rsidP="0007098F">
            <w:pPr>
              <w:rPr>
                <w:b/>
                <w:sz w:val="20"/>
                <w:szCs w:val="20"/>
              </w:rPr>
            </w:pPr>
            <w:r w:rsidRPr="00B61EB6">
              <w:rPr>
                <w:b/>
                <w:sz w:val="20"/>
                <w:szCs w:val="20"/>
              </w:rPr>
              <w:t>Motion Type</w:t>
            </w:r>
            <w:r>
              <w:rPr>
                <w:b/>
                <w:sz w:val="20"/>
                <w:szCs w:val="20"/>
              </w:rPr>
              <w:t>:</w:t>
            </w:r>
          </w:p>
          <w:p w14:paraId="53F268BE" w14:textId="77777777" w:rsidR="00794830" w:rsidRDefault="00794830" w:rsidP="0007098F">
            <w:pPr>
              <w:rPr>
                <w:b/>
                <w:iCs/>
                <w:sz w:val="20"/>
                <w:szCs w:val="20"/>
              </w:rPr>
            </w:pPr>
            <w:r w:rsidRPr="00B61EB6">
              <w:rPr>
                <w:sz w:val="20"/>
                <w:szCs w:val="20"/>
              </w:rPr>
              <w:t>Policy Recommendation</w:t>
            </w:r>
          </w:p>
        </w:tc>
        <w:tc>
          <w:tcPr>
            <w:tcW w:w="8419" w:type="dxa"/>
            <w:shd w:val="clear" w:color="auto" w:fill="auto"/>
          </w:tcPr>
          <w:p w14:paraId="15A91FD0" w14:textId="77777777" w:rsidR="00794830" w:rsidRDefault="00794830" w:rsidP="0007098F">
            <w:pPr>
              <w:rPr>
                <w:b/>
                <w:sz w:val="20"/>
                <w:szCs w:val="20"/>
              </w:rPr>
            </w:pPr>
            <w:r>
              <w:rPr>
                <w:b/>
                <w:sz w:val="20"/>
                <w:szCs w:val="20"/>
              </w:rPr>
              <w:t xml:space="preserve">Motion Text: </w:t>
            </w:r>
          </w:p>
          <w:p w14:paraId="4F70EA87" w14:textId="77777777" w:rsidR="00794830" w:rsidRDefault="00794830" w:rsidP="0007098F">
            <w:pPr>
              <w:rPr>
                <w:color w:val="000000" w:themeColor="text1"/>
                <w:sz w:val="20"/>
                <w:szCs w:val="20"/>
                <w:shd w:val="clear" w:color="auto" w:fill="FFFFFF"/>
              </w:rPr>
            </w:pPr>
            <w:r w:rsidRPr="00B61EB6">
              <w:rPr>
                <w:color w:val="000000" w:themeColor="text1"/>
                <w:sz w:val="20"/>
                <w:szCs w:val="20"/>
                <w:shd w:val="clear" w:color="auto" w:fill="FFFFFF"/>
              </w:rPr>
              <w:t>To add</w:t>
            </w:r>
            <w:r>
              <w:rPr>
                <w:color w:val="000000" w:themeColor="text1"/>
                <w:sz w:val="20"/>
                <w:szCs w:val="20"/>
                <w:shd w:val="clear" w:color="auto" w:fill="FFFFFF"/>
              </w:rPr>
              <w:t xml:space="preserve"> a link to the USG</w:t>
            </w:r>
            <w:r w:rsidRPr="00B61EB6">
              <w:rPr>
                <w:color w:val="000000" w:themeColor="text1"/>
                <w:sz w:val="20"/>
                <w:szCs w:val="20"/>
                <w:shd w:val="clear" w:color="auto" w:fill="FFFFFF"/>
              </w:rPr>
              <w:t>’s Copyright Policy (including the Fair Use Checklist) to Georgia College’s Ann</w:t>
            </w:r>
            <w:r>
              <w:rPr>
                <w:color w:val="000000" w:themeColor="text1"/>
                <w:sz w:val="20"/>
                <w:szCs w:val="20"/>
                <w:shd w:val="clear" w:color="auto" w:fill="FFFFFF"/>
              </w:rPr>
              <w:t>ual Employee Compliance Training.</w:t>
            </w:r>
          </w:p>
          <w:p w14:paraId="394B174D" w14:textId="7FF40501" w:rsidR="00794830" w:rsidRPr="007678DE" w:rsidRDefault="00794830" w:rsidP="0007098F">
            <w:pPr>
              <w:rPr>
                <w:color w:val="000000" w:themeColor="text1"/>
                <w:sz w:val="20"/>
                <w:szCs w:val="20"/>
                <w:shd w:val="clear" w:color="auto" w:fill="FFFFFF"/>
              </w:rPr>
            </w:pPr>
          </w:p>
        </w:tc>
      </w:tr>
      <w:tr w:rsidR="00794830" w14:paraId="043CC9DE" w14:textId="77777777" w:rsidTr="0007098F">
        <w:trPr>
          <w:trHeight w:val="260"/>
        </w:trPr>
        <w:tc>
          <w:tcPr>
            <w:tcW w:w="10152" w:type="dxa"/>
            <w:gridSpan w:val="2"/>
            <w:shd w:val="clear" w:color="auto" w:fill="auto"/>
          </w:tcPr>
          <w:p w14:paraId="243D1F2C" w14:textId="659EEAC6" w:rsidR="00794830" w:rsidRPr="00B61EB6" w:rsidRDefault="00794830" w:rsidP="0007098F">
            <w:pPr>
              <w:rPr>
                <w:sz w:val="20"/>
                <w:szCs w:val="20"/>
              </w:rPr>
            </w:pPr>
            <w:r>
              <w:rPr>
                <w:b/>
                <w:sz w:val="20"/>
                <w:szCs w:val="20"/>
              </w:rPr>
              <w:t xml:space="preserve">Purpose: </w:t>
            </w:r>
            <w:r w:rsidRPr="00B61EB6">
              <w:rPr>
                <w:sz w:val="20"/>
                <w:szCs w:val="20"/>
              </w:rPr>
              <w:t xml:space="preserve">The USG (and therefore GC) already has a Copyright Policy. The impetus for this motion is that faculty </w:t>
            </w:r>
            <w:r>
              <w:rPr>
                <w:sz w:val="20"/>
                <w:szCs w:val="20"/>
              </w:rPr>
              <w:t xml:space="preserve">and staff </w:t>
            </w:r>
            <w:r w:rsidRPr="00B61EB6">
              <w:rPr>
                <w:sz w:val="20"/>
                <w:szCs w:val="20"/>
              </w:rPr>
              <w:t xml:space="preserve">are not aware of the Copyright Policy and the Fair Use Checklist. </w:t>
            </w:r>
            <w:r>
              <w:rPr>
                <w:sz w:val="20"/>
                <w:szCs w:val="20"/>
              </w:rPr>
              <w:t>Adding a statement (and a link to the copyright policy)</w:t>
            </w:r>
            <w:r w:rsidRPr="00B61EB6">
              <w:rPr>
                <w:sz w:val="20"/>
                <w:szCs w:val="20"/>
              </w:rPr>
              <w:t xml:space="preserve"> to </w:t>
            </w:r>
            <w:r w:rsidRPr="00B61EB6">
              <w:rPr>
                <w:sz w:val="20"/>
                <w:szCs w:val="20"/>
              </w:rPr>
              <w:lastRenderedPageBreak/>
              <w:t xml:space="preserve">the </w:t>
            </w:r>
            <w:r w:rsidRPr="00B61EB6">
              <w:rPr>
                <w:color w:val="000000" w:themeColor="text1"/>
                <w:sz w:val="20"/>
                <w:szCs w:val="20"/>
                <w:shd w:val="clear" w:color="auto" w:fill="FFFFFF"/>
              </w:rPr>
              <w:t>Ann</w:t>
            </w:r>
            <w:r>
              <w:rPr>
                <w:color w:val="000000" w:themeColor="text1"/>
                <w:sz w:val="20"/>
                <w:szCs w:val="20"/>
                <w:shd w:val="clear" w:color="auto" w:fill="FFFFFF"/>
              </w:rPr>
              <w:t>ual Employee Compliance Training</w:t>
            </w:r>
            <w:r w:rsidRPr="00B61EB6">
              <w:rPr>
                <w:sz w:val="20"/>
                <w:szCs w:val="20"/>
              </w:rPr>
              <w:t xml:space="preserve"> will ensur</w:t>
            </w:r>
            <w:r>
              <w:rPr>
                <w:sz w:val="20"/>
                <w:szCs w:val="20"/>
              </w:rPr>
              <w:t>e that faculty and staff are trained on this policy each year</w:t>
            </w:r>
            <w:r w:rsidRPr="00B61EB6">
              <w:rPr>
                <w:sz w:val="20"/>
                <w:szCs w:val="20"/>
              </w:rPr>
              <w:t>.</w:t>
            </w:r>
          </w:p>
          <w:p w14:paraId="57E195CD" w14:textId="77777777" w:rsidR="00794830" w:rsidRDefault="00794830" w:rsidP="0007098F">
            <w:pPr>
              <w:rPr>
                <w:b/>
                <w:sz w:val="20"/>
                <w:szCs w:val="20"/>
              </w:rPr>
            </w:pPr>
          </w:p>
        </w:tc>
      </w:tr>
      <w:tr w:rsidR="00794830" w14:paraId="0B080C83" w14:textId="77777777" w:rsidTr="0007098F">
        <w:trPr>
          <w:trHeight w:val="260"/>
        </w:trPr>
        <w:tc>
          <w:tcPr>
            <w:tcW w:w="10152" w:type="dxa"/>
            <w:gridSpan w:val="2"/>
            <w:shd w:val="clear" w:color="auto" w:fill="auto"/>
          </w:tcPr>
          <w:p w14:paraId="73A4AD19" w14:textId="44553754" w:rsidR="00794830" w:rsidRDefault="00794830" w:rsidP="0007098F">
            <w:pPr>
              <w:rPr>
                <w:sz w:val="20"/>
                <w:szCs w:val="20"/>
              </w:rPr>
            </w:pPr>
            <w:r>
              <w:rPr>
                <w:b/>
                <w:sz w:val="20"/>
                <w:szCs w:val="20"/>
              </w:rPr>
              <w:lastRenderedPageBreak/>
              <w:t xml:space="preserve">Outcome: </w:t>
            </w:r>
            <w:r>
              <w:rPr>
                <w:sz w:val="20"/>
                <w:szCs w:val="20"/>
              </w:rPr>
              <w:t>This motion was approved by APC on March 6</w:t>
            </w:r>
            <w:r w:rsidRPr="00794830">
              <w:rPr>
                <w:sz w:val="20"/>
                <w:szCs w:val="20"/>
                <w:vertAlign w:val="superscript"/>
              </w:rPr>
              <w:t>th</w:t>
            </w:r>
            <w:r>
              <w:rPr>
                <w:sz w:val="20"/>
                <w:szCs w:val="20"/>
              </w:rPr>
              <w:t xml:space="preserve"> and brought to ECUS on the same day. The motion was presented to the University Senate electronically on April 24</w:t>
            </w:r>
            <w:r w:rsidRPr="00794830">
              <w:rPr>
                <w:sz w:val="20"/>
                <w:szCs w:val="20"/>
                <w:vertAlign w:val="superscript"/>
              </w:rPr>
              <w:t>th</w:t>
            </w:r>
            <w:r>
              <w:rPr>
                <w:sz w:val="20"/>
                <w:szCs w:val="20"/>
              </w:rPr>
              <w:t xml:space="preserve">. </w:t>
            </w:r>
            <w:r w:rsidRPr="000D5F2D">
              <w:rPr>
                <w:sz w:val="20"/>
                <w:szCs w:val="20"/>
              </w:rPr>
              <w:t>The Senate approved the motion via electronic vote</w:t>
            </w:r>
            <w:r w:rsidR="000D5F2D" w:rsidRPr="000D5F2D">
              <w:rPr>
                <w:sz w:val="20"/>
                <w:szCs w:val="20"/>
              </w:rPr>
              <w:t xml:space="preserve"> 29-2</w:t>
            </w:r>
            <w:r w:rsidRPr="000D5F2D">
              <w:rPr>
                <w:sz w:val="20"/>
                <w:szCs w:val="20"/>
              </w:rPr>
              <w:t xml:space="preserve">. </w:t>
            </w:r>
          </w:p>
          <w:p w14:paraId="091BD005" w14:textId="5F379D91" w:rsidR="00794830" w:rsidRPr="00794830" w:rsidRDefault="00794830" w:rsidP="0007098F">
            <w:pPr>
              <w:rPr>
                <w:sz w:val="20"/>
                <w:szCs w:val="20"/>
              </w:rPr>
            </w:pPr>
          </w:p>
        </w:tc>
      </w:tr>
    </w:tbl>
    <w:p w14:paraId="39A2BE9B" w14:textId="77777777" w:rsidR="008F0AEF" w:rsidRDefault="008F0AEF" w:rsidP="00A576FB">
      <w:pPr>
        <w:rPr>
          <w:sz w:val="20"/>
          <w:szCs w:val="20"/>
        </w:rPr>
      </w:pPr>
    </w:p>
    <w:p w14:paraId="14385FAB" w14:textId="1AAC4749" w:rsidR="000D5F2D" w:rsidRDefault="000D5F2D" w:rsidP="00A576FB">
      <w:pPr>
        <w:rPr>
          <w:sz w:val="20"/>
          <w:szCs w:val="20"/>
        </w:rPr>
      </w:pPr>
      <w:r>
        <w:rPr>
          <w:sz w:val="20"/>
          <w:szCs w:val="20"/>
        </w:rPr>
        <w:t xml:space="preserve">The motion below was sent for review to University Senate members. Due to questions </w:t>
      </w:r>
      <w:r w:rsidR="00B97A3A">
        <w:rPr>
          <w:sz w:val="20"/>
          <w:szCs w:val="20"/>
        </w:rPr>
        <w:t>and comments brought forth</w:t>
      </w:r>
      <w:r>
        <w:rPr>
          <w:sz w:val="20"/>
          <w:szCs w:val="20"/>
        </w:rPr>
        <w:t xml:space="preserve"> (see below under Committee Recommendations), the APC Chair withdrew the motion from the April 24</w:t>
      </w:r>
      <w:r w:rsidRPr="000D5F2D">
        <w:rPr>
          <w:sz w:val="20"/>
          <w:szCs w:val="20"/>
          <w:vertAlign w:val="superscript"/>
        </w:rPr>
        <w:t>th</w:t>
      </w:r>
      <w:r>
        <w:rPr>
          <w:sz w:val="20"/>
          <w:szCs w:val="20"/>
        </w:rPr>
        <w:t xml:space="preserve"> University Senate meeting.  </w:t>
      </w:r>
    </w:p>
    <w:p w14:paraId="51BAE7E8" w14:textId="77777777" w:rsidR="000D5F2D" w:rsidRPr="00B61EB6" w:rsidRDefault="000D5F2D" w:rsidP="00A576FB">
      <w:pPr>
        <w:rPr>
          <w:sz w:val="20"/>
          <w:szCs w:val="20"/>
        </w:rPr>
      </w:pPr>
    </w:p>
    <w:tbl>
      <w:tblPr>
        <w:tblStyle w:val="TableGrid"/>
        <w:tblW w:w="0" w:type="auto"/>
        <w:tblLook w:val="04A0" w:firstRow="1" w:lastRow="0" w:firstColumn="1" w:lastColumn="0" w:noHBand="0" w:noVBand="1"/>
      </w:tblPr>
      <w:tblGrid>
        <w:gridCol w:w="1733"/>
        <w:gridCol w:w="8419"/>
      </w:tblGrid>
      <w:tr w:rsidR="007678DE" w14:paraId="0888663E" w14:textId="77777777" w:rsidTr="007678DE">
        <w:trPr>
          <w:trHeight w:val="260"/>
        </w:trPr>
        <w:tc>
          <w:tcPr>
            <w:tcW w:w="1733" w:type="dxa"/>
            <w:shd w:val="clear" w:color="auto" w:fill="FDE9D9" w:themeFill="accent6" w:themeFillTint="33"/>
          </w:tcPr>
          <w:p w14:paraId="36128B8B" w14:textId="7519B272" w:rsidR="007678DE" w:rsidRDefault="007678DE" w:rsidP="007678DE">
            <w:pPr>
              <w:rPr>
                <w:b/>
                <w:iCs/>
                <w:sz w:val="20"/>
                <w:szCs w:val="20"/>
              </w:rPr>
            </w:pPr>
            <w:r>
              <w:rPr>
                <w:b/>
                <w:iCs/>
                <w:sz w:val="20"/>
                <w:szCs w:val="20"/>
              </w:rPr>
              <w:t>Motion Number:</w:t>
            </w:r>
          </w:p>
          <w:p w14:paraId="198FA0A5" w14:textId="6AC951F0" w:rsidR="007678DE" w:rsidRPr="007678DE" w:rsidRDefault="007678DE" w:rsidP="007678DE">
            <w:pPr>
              <w:rPr>
                <w:sz w:val="20"/>
                <w:szCs w:val="20"/>
              </w:rPr>
            </w:pPr>
            <w:r w:rsidRPr="007678DE">
              <w:rPr>
                <w:iCs/>
                <w:sz w:val="20"/>
                <w:szCs w:val="20"/>
              </w:rPr>
              <w:t>1920.APC.</w:t>
            </w:r>
            <w:r w:rsidR="001D2AB2" w:rsidRPr="001D2AB2">
              <w:rPr>
                <w:iCs/>
                <w:sz w:val="20"/>
                <w:szCs w:val="20"/>
              </w:rPr>
              <w:t>003.P</w:t>
            </w:r>
          </w:p>
          <w:p w14:paraId="58E6FBFC" w14:textId="77777777" w:rsidR="007678DE" w:rsidRDefault="007678DE" w:rsidP="00A576FB">
            <w:pPr>
              <w:rPr>
                <w:b/>
                <w:sz w:val="20"/>
                <w:szCs w:val="20"/>
              </w:rPr>
            </w:pPr>
          </w:p>
        </w:tc>
        <w:tc>
          <w:tcPr>
            <w:tcW w:w="8419" w:type="dxa"/>
            <w:shd w:val="clear" w:color="auto" w:fill="FDE9D9" w:themeFill="accent6" w:themeFillTint="33"/>
          </w:tcPr>
          <w:p w14:paraId="1F5C3C2E" w14:textId="25FE0C01" w:rsidR="007678DE" w:rsidRPr="007678DE" w:rsidRDefault="007678DE" w:rsidP="007678DE">
            <w:pPr>
              <w:shd w:val="clear" w:color="auto" w:fill="FDE9D9" w:themeFill="accent6" w:themeFillTint="33"/>
              <w:rPr>
                <w:b/>
                <w:color w:val="000000" w:themeColor="text1"/>
                <w:sz w:val="20"/>
                <w:szCs w:val="20"/>
                <w:shd w:val="clear" w:color="auto" w:fill="FFFFFF"/>
              </w:rPr>
            </w:pPr>
            <w:r w:rsidRPr="007678DE">
              <w:rPr>
                <w:b/>
                <w:sz w:val="20"/>
                <w:szCs w:val="20"/>
              </w:rPr>
              <w:t xml:space="preserve">Title of Motion: </w:t>
            </w:r>
          </w:p>
          <w:p w14:paraId="348FB7BC" w14:textId="1BB239B3" w:rsidR="007678DE" w:rsidRDefault="007678DE" w:rsidP="007678DE">
            <w:pPr>
              <w:shd w:val="clear" w:color="auto" w:fill="FDE9D9" w:themeFill="accent6" w:themeFillTint="33"/>
              <w:rPr>
                <w:b/>
                <w:sz w:val="20"/>
                <w:szCs w:val="20"/>
              </w:rPr>
            </w:pPr>
            <w:r w:rsidRPr="00B61EB6">
              <w:rPr>
                <w:sz w:val="20"/>
                <w:szCs w:val="20"/>
              </w:rPr>
              <w:t xml:space="preserve">Proposed Revision to add Copyright Policy to </w:t>
            </w:r>
            <w:r w:rsidRPr="00B61EB6">
              <w:rPr>
                <w:b/>
                <w:sz w:val="20"/>
                <w:szCs w:val="20"/>
              </w:rPr>
              <w:t>Required Syllabus Statements</w:t>
            </w:r>
          </w:p>
        </w:tc>
      </w:tr>
      <w:tr w:rsidR="007678DE" w14:paraId="797FFA4E" w14:textId="77777777" w:rsidTr="007678DE">
        <w:trPr>
          <w:trHeight w:val="260"/>
        </w:trPr>
        <w:tc>
          <w:tcPr>
            <w:tcW w:w="1733" w:type="dxa"/>
            <w:shd w:val="clear" w:color="auto" w:fill="auto"/>
          </w:tcPr>
          <w:p w14:paraId="6F739462" w14:textId="307D745F" w:rsidR="007678DE" w:rsidRDefault="007678DE" w:rsidP="007678DE">
            <w:pPr>
              <w:rPr>
                <w:b/>
                <w:sz w:val="20"/>
                <w:szCs w:val="20"/>
              </w:rPr>
            </w:pPr>
            <w:r w:rsidRPr="00B61EB6">
              <w:rPr>
                <w:b/>
                <w:sz w:val="20"/>
                <w:szCs w:val="20"/>
              </w:rPr>
              <w:t>Motion Type</w:t>
            </w:r>
            <w:r>
              <w:rPr>
                <w:b/>
                <w:sz w:val="20"/>
                <w:szCs w:val="20"/>
              </w:rPr>
              <w:t>:</w:t>
            </w:r>
          </w:p>
          <w:p w14:paraId="4675A65E" w14:textId="4DB3EB92" w:rsidR="007678DE" w:rsidRDefault="007678DE" w:rsidP="007678DE">
            <w:pPr>
              <w:rPr>
                <w:b/>
                <w:iCs/>
                <w:sz w:val="20"/>
                <w:szCs w:val="20"/>
              </w:rPr>
            </w:pPr>
            <w:r w:rsidRPr="00B61EB6">
              <w:rPr>
                <w:sz w:val="20"/>
                <w:szCs w:val="20"/>
              </w:rPr>
              <w:t>Policy Recommendation</w:t>
            </w:r>
          </w:p>
        </w:tc>
        <w:tc>
          <w:tcPr>
            <w:tcW w:w="8419" w:type="dxa"/>
            <w:shd w:val="clear" w:color="auto" w:fill="auto"/>
          </w:tcPr>
          <w:p w14:paraId="3A07A5D6" w14:textId="77777777" w:rsidR="007678DE" w:rsidRDefault="007678DE" w:rsidP="007678DE">
            <w:pPr>
              <w:rPr>
                <w:b/>
                <w:sz w:val="20"/>
                <w:szCs w:val="20"/>
              </w:rPr>
            </w:pPr>
            <w:r>
              <w:rPr>
                <w:b/>
                <w:sz w:val="20"/>
                <w:szCs w:val="20"/>
              </w:rPr>
              <w:t xml:space="preserve">Motion Text: </w:t>
            </w:r>
          </w:p>
          <w:p w14:paraId="6226EEBE" w14:textId="55D55E2C" w:rsidR="00794830" w:rsidRDefault="007678DE" w:rsidP="00794830">
            <w:pPr>
              <w:rPr>
                <w:color w:val="000000" w:themeColor="text1"/>
                <w:sz w:val="20"/>
                <w:szCs w:val="20"/>
                <w:shd w:val="clear" w:color="auto" w:fill="FFFFFF"/>
              </w:rPr>
            </w:pPr>
            <w:r w:rsidRPr="00B61EB6">
              <w:rPr>
                <w:color w:val="000000" w:themeColor="text1"/>
                <w:sz w:val="20"/>
                <w:szCs w:val="20"/>
                <w:shd w:val="clear" w:color="auto" w:fill="FFFFFF"/>
              </w:rPr>
              <w:t>To add</w:t>
            </w:r>
            <w:r>
              <w:rPr>
                <w:color w:val="000000" w:themeColor="text1"/>
                <w:sz w:val="20"/>
                <w:szCs w:val="20"/>
                <w:shd w:val="clear" w:color="auto" w:fill="FFFFFF"/>
              </w:rPr>
              <w:t xml:space="preserve"> a link to the USG</w:t>
            </w:r>
            <w:r w:rsidRPr="00B61EB6">
              <w:rPr>
                <w:color w:val="000000" w:themeColor="text1"/>
                <w:sz w:val="20"/>
                <w:szCs w:val="20"/>
                <w:shd w:val="clear" w:color="auto" w:fill="FFFFFF"/>
              </w:rPr>
              <w:t xml:space="preserve">’s Copyright Policy (including the Fair Use Checklist) </w:t>
            </w:r>
            <w:r w:rsidR="00417A85">
              <w:rPr>
                <w:color w:val="000000" w:themeColor="text1"/>
                <w:sz w:val="20"/>
                <w:szCs w:val="20"/>
                <w:shd w:val="clear" w:color="auto" w:fill="FFFFFF"/>
              </w:rPr>
              <w:t xml:space="preserve">and the following text </w:t>
            </w:r>
            <w:r w:rsidRPr="00B61EB6">
              <w:rPr>
                <w:color w:val="000000" w:themeColor="text1"/>
                <w:sz w:val="20"/>
                <w:szCs w:val="20"/>
                <w:shd w:val="clear" w:color="auto" w:fill="FFFFFF"/>
              </w:rPr>
              <w:t xml:space="preserve">to Georgia College’s </w:t>
            </w:r>
            <w:r w:rsidR="00794830">
              <w:rPr>
                <w:color w:val="000000" w:themeColor="text1"/>
                <w:sz w:val="20"/>
                <w:szCs w:val="20"/>
                <w:shd w:val="clear" w:color="auto" w:fill="FFFFFF"/>
              </w:rPr>
              <w:t>Required Sy</w:t>
            </w:r>
            <w:r w:rsidR="00417A85">
              <w:rPr>
                <w:color w:val="000000" w:themeColor="text1"/>
                <w:sz w:val="20"/>
                <w:szCs w:val="20"/>
                <w:shd w:val="clear" w:color="auto" w:fill="FFFFFF"/>
              </w:rPr>
              <w:t>llabus Statements</w:t>
            </w:r>
            <w:r w:rsidR="00794830">
              <w:rPr>
                <w:color w:val="000000" w:themeColor="text1"/>
                <w:sz w:val="20"/>
                <w:szCs w:val="20"/>
                <w:shd w:val="clear" w:color="auto" w:fill="FFFFFF"/>
              </w:rPr>
              <w:t>:</w:t>
            </w:r>
          </w:p>
          <w:p w14:paraId="758AAADA" w14:textId="77777777" w:rsidR="00247CA3" w:rsidRDefault="00247CA3" w:rsidP="00247CA3">
            <w:pPr>
              <w:pStyle w:val="NormalWeb"/>
              <w:shd w:val="clear" w:color="auto" w:fill="FFFFFF"/>
              <w:spacing w:before="0" w:beforeAutospacing="0" w:after="0" w:afterAutospacing="0"/>
              <w:textAlignment w:val="baseline"/>
              <w:rPr>
                <w:rFonts w:ascii="Calibri" w:hAnsi="Calibri" w:cs="Segoe UI"/>
                <w:b/>
                <w:bCs/>
                <w:color w:val="000000"/>
                <w:sz w:val="22"/>
                <w:szCs w:val="22"/>
              </w:rPr>
            </w:pPr>
          </w:p>
          <w:p w14:paraId="6CAB27F1" w14:textId="77777777" w:rsidR="00247CA3" w:rsidRPr="00247CA3" w:rsidRDefault="00247CA3" w:rsidP="00247CA3">
            <w:pPr>
              <w:pStyle w:val="NormalWeb"/>
              <w:shd w:val="clear" w:color="auto" w:fill="FFFFFF"/>
              <w:spacing w:before="0" w:beforeAutospacing="0" w:after="0" w:afterAutospacing="0"/>
              <w:textAlignment w:val="baseline"/>
              <w:rPr>
                <w:color w:val="000000"/>
                <w:sz w:val="20"/>
                <w:szCs w:val="20"/>
              </w:rPr>
            </w:pPr>
            <w:r w:rsidRPr="00247CA3">
              <w:rPr>
                <w:b/>
                <w:bCs/>
                <w:color w:val="000000"/>
                <w:sz w:val="20"/>
                <w:szCs w:val="20"/>
              </w:rPr>
              <w:t>Student Use of Copyrighted Materials</w:t>
            </w:r>
          </w:p>
          <w:p w14:paraId="7D284CDF" w14:textId="5080BEB3" w:rsidR="00247CA3" w:rsidRPr="00247CA3" w:rsidRDefault="00247CA3" w:rsidP="00247CA3">
            <w:pPr>
              <w:pStyle w:val="NormalWeb"/>
              <w:shd w:val="clear" w:color="auto" w:fill="FFFFFF"/>
              <w:spacing w:before="0" w:beforeAutospacing="0" w:after="0" w:afterAutospacing="0"/>
              <w:textAlignment w:val="baseline"/>
              <w:rPr>
                <w:color w:val="000000"/>
                <w:sz w:val="20"/>
                <w:szCs w:val="20"/>
              </w:rPr>
            </w:pPr>
            <w:r w:rsidRPr="00247CA3">
              <w:rPr>
                <w:color w:val="000000"/>
                <w:sz w:val="20"/>
                <w:szCs w:val="20"/>
              </w:rPr>
              <w:t>As a student</w:t>
            </w:r>
            <w:r>
              <w:rPr>
                <w:color w:val="000000"/>
                <w:sz w:val="20"/>
                <w:szCs w:val="20"/>
              </w:rPr>
              <w:t>,</w:t>
            </w:r>
            <w:r w:rsidRPr="00247CA3">
              <w:rPr>
                <w:color w:val="000000"/>
                <w:sz w:val="20"/>
                <w:szCs w:val="20"/>
              </w:rPr>
              <w:t xml:space="preserve"> your ability to post or link to copyrighted material is governed by United States copyright law. The law allows for students to post or link to copyrighted materials within the course environment when the materials are pertinent to course work. In addition, GC Policy expressly forbids the sharing or posting of copyrighted material without the proper consent of the author. The absence of a copyright notice or symbol on a work does not denote a lack of copyright</w:t>
            </w:r>
            <w:r w:rsidR="006A67ED">
              <w:rPr>
                <w:color w:val="000000"/>
                <w:sz w:val="20"/>
                <w:szCs w:val="20"/>
              </w:rPr>
              <w:t xml:space="preserve">. </w:t>
            </w:r>
            <w:r w:rsidR="006A67ED" w:rsidRPr="00BA5EAF">
              <w:rPr>
                <w:color w:val="000000" w:themeColor="text1"/>
                <w:sz w:val="20"/>
                <w:szCs w:val="20"/>
              </w:rPr>
              <w:t>Students should assume that all materials provided are copyright protected</w:t>
            </w:r>
            <w:r w:rsidRPr="00BA5EAF">
              <w:rPr>
                <w:color w:val="000000" w:themeColor="text1"/>
                <w:sz w:val="20"/>
                <w:szCs w:val="20"/>
              </w:rPr>
              <w:t xml:space="preserve">. </w:t>
            </w:r>
            <w:r w:rsidRPr="00247CA3">
              <w:rPr>
                <w:color w:val="000000"/>
                <w:sz w:val="20"/>
                <w:szCs w:val="20"/>
              </w:rPr>
              <w:t>Failure to comply with this policy may result in restriction or loss of university network access and/or disciplinary action through the Office of Student Affairs. For questions involving copyright issues, please consult the GC Office of Legal Affairs. Refer to the USG Policy on the Use of Copyrighted Works at </w:t>
            </w:r>
            <w:hyperlink r:id="rId9" w:tgtFrame="_blank" w:tooltip="Original URL: https://www.usg.edu/copyright. Click or tap if you trust this link." w:history="1">
              <w:r w:rsidRPr="00247CA3">
                <w:rPr>
                  <w:rStyle w:val="Hyperlink"/>
                  <w:sz w:val="20"/>
                  <w:szCs w:val="20"/>
                  <w:bdr w:val="none" w:sz="0" w:space="0" w:color="auto" w:frame="1"/>
                </w:rPr>
                <w:t>https://www.usg.edu/copyright</w:t>
              </w:r>
            </w:hyperlink>
            <w:r w:rsidRPr="00247CA3">
              <w:rPr>
                <w:color w:val="000000"/>
                <w:sz w:val="20"/>
                <w:szCs w:val="20"/>
              </w:rPr>
              <w:t>.</w:t>
            </w:r>
          </w:p>
          <w:p w14:paraId="2A7C3167" w14:textId="63C96A79" w:rsidR="007678DE" w:rsidRPr="00247CA3" w:rsidRDefault="00247CA3" w:rsidP="00247CA3">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tc>
      </w:tr>
      <w:tr w:rsidR="007678DE" w14:paraId="2C172828" w14:textId="77777777" w:rsidTr="009E5928">
        <w:trPr>
          <w:trHeight w:val="260"/>
        </w:trPr>
        <w:tc>
          <w:tcPr>
            <w:tcW w:w="10152" w:type="dxa"/>
            <w:gridSpan w:val="2"/>
            <w:shd w:val="clear" w:color="auto" w:fill="auto"/>
          </w:tcPr>
          <w:p w14:paraId="5C62683F" w14:textId="0AA1CCB0" w:rsidR="007678DE" w:rsidRPr="00B61EB6" w:rsidRDefault="007678DE" w:rsidP="007678DE">
            <w:pPr>
              <w:rPr>
                <w:sz w:val="20"/>
                <w:szCs w:val="20"/>
              </w:rPr>
            </w:pPr>
            <w:r>
              <w:rPr>
                <w:b/>
                <w:sz w:val="20"/>
                <w:szCs w:val="20"/>
              </w:rPr>
              <w:t xml:space="preserve">Purpose: </w:t>
            </w:r>
            <w:r w:rsidRPr="00B61EB6">
              <w:rPr>
                <w:sz w:val="20"/>
                <w:szCs w:val="20"/>
              </w:rPr>
              <w:t xml:space="preserve">The USG (and therefore GC) already has a Copyright Policy. The impetus for this motion is that faculty </w:t>
            </w:r>
            <w:r>
              <w:rPr>
                <w:sz w:val="20"/>
                <w:szCs w:val="20"/>
              </w:rPr>
              <w:t xml:space="preserve">and students </w:t>
            </w:r>
            <w:r w:rsidRPr="00B61EB6">
              <w:rPr>
                <w:sz w:val="20"/>
                <w:szCs w:val="20"/>
              </w:rPr>
              <w:t xml:space="preserve">are not aware of the Copyright Policy and the Fair Use Checklist. </w:t>
            </w:r>
            <w:r>
              <w:rPr>
                <w:sz w:val="20"/>
                <w:szCs w:val="20"/>
              </w:rPr>
              <w:t>Adding a statement (and a link to the copyright policy)</w:t>
            </w:r>
            <w:r w:rsidRPr="00B61EB6">
              <w:rPr>
                <w:sz w:val="20"/>
                <w:szCs w:val="20"/>
              </w:rPr>
              <w:t xml:space="preserve"> to the Required Syllabus Statements will ensure that faculty and students are educated on this policy each semester.</w:t>
            </w:r>
          </w:p>
          <w:p w14:paraId="366DC479" w14:textId="2A5D67C3" w:rsidR="007678DE" w:rsidRDefault="007678DE" w:rsidP="007678DE">
            <w:pPr>
              <w:rPr>
                <w:b/>
                <w:sz w:val="20"/>
                <w:szCs w:val="20"/>
              </w:rPr>
            </w:pPr>
          </w:p>
        </w:tc>
      </w:tr>
      <w:tr w:rsidR="00794830" w14:paraId="56D4D3FF" w14:textId="77777777" w:rsidTr="009E5928">
        <w:trPr>
          <w:trHeight w:val="260"/>
        </w:trPr>
        <w:tc>
          <w:tcPr>
            <w:tcW w:w="10152" w:type="dxa"/>
            <w:gridSpan w:val="2"/>
            <w:shd w:val="clear" w:color="auto" w:fill="auto"/>
          </w:tcPr>
          <w:p w14:paraId="3B2F5294" w14:textId="7C6A0772" w:rsidR="00794830" w:rsidRDefault="00333B9B" w:rsidP="007678DE">
            <w:pPr>
              <w:rPr>
                <w:sz w:val="20"/>
                <w:szCs w:val="20"/>
              </w:rPr>
            </w:pPr>
            <w:r w:rsidRPr="00333B9B">
              <w:rPr>
                <w:b/>
                <w:sz w:val="20"/>
                <w:szCs w:val="20"/>
              </w:rPr>
              <w:t>Outcome:</w:t>
            </w:r>
            <w:r>
              <w:rPr>
                <w:sz w:val="20"/>
                <w:szCs w:val="20"/>
              </w:rPr>
              <w:t xml:space="preserve"> </w:t>
            </w:r>
            <w:r w:rsidR="00794830">
              <w:rPr>
                <w:sz w:val="20"/>
                <w:szCs w:val="20"/>
              </w:rPr>
              <w:t>This motion was approved by APC on</w:t>
            </w:r>
            <w:r w:rsidR="00247CA3">
              <w:rPr>
                <w:sz w:val="20"/>
                <w:szCs w:val="20"/>
              </w:rPr>
              <w:t xml:space="preserve"> April 10</w:t>
            </w:r>
            <w:r w:rsidR="00247CA3" w:rsidRPr="00247CA3">
              <w:rPr>
                <w:sz w:val="20"/>
                <w:szCs w:val="20"/>
                <w:vertAlign w:val="superscript"/>
              </w:rPr>
              <w:t>th</w:t>
            </w:r>
            <w:r w:rsidR="00247CA3">
              <w:rPr>
                <w:sz w:val="20"/>
                <w:szCs w:val="20"/>
              </w:rPr>
              <w:t xml:space="preserve"> </w:t>
            </w:r>
            <w:r w:rsidR="00794830">
              <w:rPr>
                <w:sz w:val="20"/>
                <w:szCs w:val="20"/>
              </w:rPr>
              <w:t>and brought to ECUS on the same day. The motion was presented to the University Senat</w:t>
            </w:r>
            <w:r w:rsidR="000D5F2D">
              <w:rPr>
                <w:sz w:val="20"/>
                <w:szCs w:val="20"/>
              </w:rPr>
              <w:t xml:space="preserve">e electronically, and then withdrawn by the APC Chair. </w:t>
            </w:r>
          </w:p>
          <w:p w14:paraId="65465918" w14:textId="641600F3" w:rsidR="00333B9B" w:rsidRDefault="00333B9B" w:rsidP="007678DE">
            <w:pPr>
              <w:rPr>
                <w:b/>
                <w:sz w:val="20"/>
                <w:szCs w:val="20"/>
              </w:rPr>
            </w:pPr>
          </w:p>
        </w:tc>
      </w:tr>
    </w:tbl>
    <w:p w14:paraId="1C67B4F9" w14:textId="77777777" w:rsidR="008F0AEF" w:rsidRDefault="008F0AEF" w:rsidP="00A576FB">
      <w:pPr>
        <w:rPr>
          <w:b/>
          <w:sz w:val="20"/>
          <w:szCs w:val="20"/>
        </w:rPr>
      </w:pPr>
    </w:p>
    <w:p w14:paraId="79D6415F" w14:textId="2DBEC48C" w:rsidR="00A576FB" w:rsidRPr="00B61EB6" w:rsidRDefault="007678DE" w:rsidP="00A576FB">
      <w:pPr>
        <w:rPr>
          <w:b/>
          <w:sz w:val="20"/>
          <w:szCs w:val="20"/>
        </w:rPr>
      </w:pPr>
      <w:r>
        <w:rPr>
          <w:b/>
          <w:sz w:val="20"/>
          <w:szCs w:val="20"/>
        </w:rPr>
        <w:t>Reference Material/</w:t>
      </w:r>
      <w:r w:rsidR="00A576FB" w:rsidRPr="00B61EB6">
        <w:rPr>
          <w:b/>
          <w:sz w:val="20"/>
          <w:szCs w:val="20"/>
        </w:rPr>
        <w:t xml:space="preserve">Existing Policies and Handbooks: </w:t>
      </w:r>
    </w:p>
    <w:p w14:paraId="2B96E5DB" w14:textId="77777777" w:rsidR="00A576FB" w:rsidRPr="00B61EB6" w:rsidRDefault="00A576FB" w:rsidP="00A576FB">
      <w:pPr>
        <w:rPr>
          <w:sz w:val="20"/>
          <w:szCs w:val="20"/>
        </w:rPr>
      </w:pPr>
      <w:r w:rsidRPr="00B61EB6">
        <w:rPr>
          <w:sz w:val="20"/>
          <w:szCs w:val="20"/>
        </w:rPr>
        <w:t xml:space="preserve">University System of Georgia’s Copyright Policy: </w:t>
      </w:r>
    </w:p>
    <w:p w14:paraId="56FCBE46" w14:textId="77777777" w:rsidR="00A576FB" w:rsidRPr="00B61EB6" w:rsidRDefault="00A667CE" w:rsidP="00A576FB">
      <w:pPr>
        <w:rPr>
          <w:sz w:val="20"/>
          <w:szCs w:val="20"/>
        </w:rPr>
      </w:pPr>
      <w:hyperlink r:id="rId10" w:history="1">
        <w:r w:rsidR="00A576FB" w:rsidRPr="00B61EB6">
          <w:rPr>
            <w:rStyle w:val="Hyperlink"/>
            <w:sz w:val="20"/>
            <w:szCs w:val="20"/>
          </w:rPr>
          <w:t>https://www.usg.edu/copyright/copyright_generally</w:t>
        </w:r>
      </w:hyperlink>
    </w:p>
    <w:p w14:paraId="391C7AB7" w14:textId="77777777" w:rsidR="00A576FB" w:rsidRPr="00B61EB6" w:rsidRDefault="00A576FB" w:rsidP="00A576FB">
      <w:pPr>
        <w:rPr>
          <w:sz w:val="20"/>
          <w:szCs w:val="20"/>
        </w:rPr>
      </w:pPr>
    </w:p>
    <w:p w14:paraId="149C9EEB" w14:textId="77777777" w:rsidR="00A576FB" w:rsidRPr="00247CA3" w:rsidRDefault="00A576FB" w:rsidP="00A576FB">
      <w:pPr>
        <w:rPr>
          <w:b/>
          <w:sz w:val="20"/>
          <w:szCs w:val="20"/>
        </w:rPr>
      </w:pPr>
      <w:r w:rsidRPr="00247CA3">
        <w:rPr>
          <w:b/>
          <w:sz w:val="20"/>
          <w:szCs w:val="20"/>
        </w:rPr>
        <w:t>University System of Georgia’s Fair Use Checklist:</w:t>
      </w:r>
    </w:p>
    <w:p w14:paraId="57894814" w14:textId="77777777" w:rsidR="00A576FB" w:rsidRPr="00B61EB6" w:rsidRDefault="00A667CE" w:rsidP="00A576FB">
      <w:pPr>
        <w:rPr>
          <w:sz w:val="20"/>
          <w:szCs w:val="20"/>
        </w:rPr>
      </w:pPr>
      <w:hyperlink r:id="rId11" w:history="1">
        <w:r w:rsidR="00A576FB" w:rsidRPr="00B61EB6">
          <w:rPr>
            <w:rStyle w:val="Hyperlink"/>
            <w:sz w:val="20"/>
            <w:szCs w:val="20"/>
          </w:rPr>
          <w:t>https://www.usg.edu/copyright/fair_use_checklist</w:t>
        </w:r>
      </w:hyperlink>
    </w:p>
    <w:p w14:paraId="38FD0579" w14:textId="77777777" w:rsidR="00A576FB" w:rsidRPr="000346C9" w:rsidRDefault="00A576FB" w:rsidP="00A576FB">
      <w:pPr>
        <w:pBdr>
          <w:bottom w:val="single" w:sz="12" w:space="1" w:color="auto"/>
        </w:pBdr>
        <w:rPr>
          <w:color w:val="000000" w:themeColor="text1"/>
          <w:sz w:val="20"/>
          <w:szCs w:val="20"/>
          <w:shd w:val="clear" w:color="auto" w:fill="FFFFFF"/>
        </w:rPr>
      </w:pPr>
    </w:p>
    <w:p w14:paraId="0E1DC980" w14:textId="562AD2B8" w:rsidR="00A576FB" w:rsidRPr="00A576FB" w:rsidRDefault="00A576FB" w:rsidP="00865BBB">
      <w:pPr>
        <w:rPr>
          <w:b/>
          <w:bCs/>
        </w:rPr>
      </w:pPr>
    </w:p>
    <w:p w14:paraId="29A9679E" w14:textId="77777777" w:rsidR="00865BBB" w:rsidRPr="00E362A9" w:rsidRDefault="00865BBB" w:rsidP="00865BBB">
      <w:r w:rsidRPr="00E362A9">
        <w:rPr>
          <w:b/>
          <w:bCs/>
        </w:rPr>
        <w:t>Other Significant Deliberation (Non-Motions):</w:t>
      </w:r>
    </w:p>
    <w:p w14:paraId="62F8F010" w14:textId="77777777" w:rsidR="00865BBB" w:rsidRPr="00F03C55" w:rsidRDefault="00865BBB" w:rsidP="00865BBB">
      <w:pPr>
        <w:rPr>
          <w:i/>
          <w:iCs/>
          <w:sz w:val="20"/>
          <w:szCs w:val="20"/>
        </w:rPr>
      </w:pPr>
      <w:r w:rsidRPr="00F03C55">
        <w:rPr>
          <w:i/>
          <w:iCs/>
          <w:sz w:val="20"/>
          <w:szCs w:val="20"/>
        </w:rPr>
        <w:t>Short summary of each issue that consumed a significant amount of committee time.</w:t>
      </w:r>
    </w:p>
    <w:p w14:paraId="4CE14896" w14:textId="77777777" w:rsidR="00AB4AD4" w:rsidRDefault="00AB4AD4" w:rsidP="00865BBB"/>
    <w:p w14:paraId="1962BB03" w14:textId="61E539DB" w:rsidR="001025BA" w:rsidRPr="001025BA" w:rsidRDefault="001025BA" w:rsidP="000E29A5">
      <w:pPr>
        <w:jc w:val="center"/>
        <w:rPr>
          <w:b/>
        </w:rPr>
      </w:pPr>
      <w:r w:rsidRPr="001025BA">
        <w:rPr>
          <w:b/>
        </w:rPr>
        <w:t>Plagiarism</w:t>
      </w:r>
    </w:p>
    <w:p w14:paraId="0A7CD509" w14:textId="0393A8CB" w:rsidR="001025BA" w:rsidRPr="008F0AEF" w:rsidRDefault="001025BA" w:rsidP="001025BA">
      <w:pPr>
        <w:rPr>
          <w:sz w:val="20"/>
          <w:szCs w:val="20"/>
        </w:rPr>
      </w:pPr>
      <w:r w:rsidRPr="008F0AEF">
        <w:rPr>
          <w:sz w:val="20"/>
          <w:szCs w:val="20"/>
        </w:rPr>
        <w:t xml:space="preserve">During the governance retreat, committee members </w:t>
      </w:r>
      <w:r w:rsidR="009F483D" w:rsidRPr="008F0AEF">
        <w:rPr>
          <w:sz w:val="20"/>
          <w:szCs w:val="20"/>
        </w:rPr>
        <w:t xml:space="preserve">raised the issue of </w:t>
      </w:r>
      <w:r w:rsidR="009F483D" w:rsidRPr="008F0AEF">
        <w:rPr>
          <w:b/>
          <w:sz w:val="20"/>
          <w:szCs w:val="20"/>
        </w:rPr>
        <w:t>plagiarism</w:t>
      </w:r>
      <w:r w:rsidR="00004269" w:rsidRPr="008F0AEF">
        <w:rPr>
          <w:b/>
          <w:sz w:val="20"/>
          <w:szCs w:val="20"/>
        </w:rPr>
        <w:t xml:space="preserve"> prevention</w:t>
      </w:r>
      <w:r w:rsidR="009F483D" w:rsidRPr="008F0AEF">
        <w:rPr>
          <w:sz w:val="20"/>
          <w:szCs w:val="20"/>
        </w:rPr>
        <w:t>, which was a</w:t>
      </w:r>
      <w:r w:rsidR="00004269" w:rsidRPr="008F0AEF">
        <w:rPr>
          <w:sz w:val="20"/>
          <w:szCs w:val="20"/>
        </w:rPr>
        <w:t xml:space="preserve"> carryover item from the previous</w:t>
      </w:r>
      <w:r w:rsidR="009F483D" w:rsidRPr="008F0AEF">
        <w:rPr>
          <w:sz w:val="20"/>
          <w:szCs w:val="20"/>
        </w:rPr>
        <w:t xml:space="preserve"> academic year. In 2018-19, </w:t>
      </w:r>
      <w:r w:rsidR="004F7A83" w:rsidRPr="008F0AEF">
        <w:rPr>
          <w:sz w:val="20"/>
          <w:szCs w:val="20"/>
        </w:rPr>
        <w:t xml:space="preserve">the senate approved an </w:t>
      </w:r>
      <w:r w:rsidR="00F03C55">
        <w:rPr>
          <w:sz w:val="20"/>
          <w:szCs w:val="20"/>
        </w:rPr>
        <w:t>APC motion to recommend that</w:t>
      </w:r>
      <w:r w:rsidR="004F7A83" w:rsidRPr="008F0AEF">
        <w:rPr>
          <w:sz w:val="20"/>
          <w:szCs w:val="20"/>
        </w:rPr>
        <w:t xml:space="preserve"> plagiarism detection be attached to all GC courses by default. </w:t>
      </w:r>
      <w:r w:rsidR="0003495F" w:rsidRPr="008F0AEF">
        <w:rPr>
          <w:sz w:val="20"/>
          <w:szCs w:val="20"/>
        </w:rPr>
        <w:t xml:space="preserve">The plagiarism prevention attribute was to be attached to each course in Banner (PAWS). </w:t>
      </w:r>
      <w:r w:rsidR="00EB23EA" w:rsidRPr="008F0AEF">
        <w:rPr>
          <w:sz w:val="20"/>
          <w:szCs w:val="20"/>
        </w:rPr>
        <w:t xml:space="preserve">Following the governance retreat, the APC chair reached out to the Registrar, Kay Anderson, who confirmed that the plagiarism detection system had been applied to each course in Banner. </w:t>
      </w:r>
    </w:p>
    <w:p w14:paraId="534878A7" w14:textId="77777777" w:rsidR="00EB23EA" w:rsidRPr="008F0AEF" w:rsidRDefault="00EB23EA" w:rsidP="001025BA">
      <w:pPr>
        <w:rPr>
          <w:sz w:val="20"/>
          <w:szCs w:val="20"/>
        </w:rPr>
      </w:pPr>
    </w:p>
    <w:p w14:paraId="052D930E" w14:textId="224FE615" w:rsidR="00EB23EA" w:rsidRPr="008F0AEF" w:rsidRDefault="00EB23EA" w:rsidP="001025BA">
      <w:pPr>
        <w:rPr>
          <w:sz w:val="20"/>
          <w:szCs w:val="20"/>
        </w:rPr>
      </w:pPr>
      <w:r w:rsidRPr="008F0AEF">
        <w:rPr>
          <w:sz w:val="20"/>
          <w:szCs w:val="20"/>
        </w:rPr>
        <w:t xml:space="preserve">A question was also raised at the governance retreat regarding </w:t>
      </w:r>
      <w:r w:rsidRPr="008F0AEF">
        <w:rPr>
          <w:b/>
          <w:sz w:val="20"/>
          <w:szCs w:val="20"/>
        </w:rPr>
        <w:t>faculty knowledge of the plagiarism reporting system</w:t>
      </w:r>
      <w:r w:rsidRPr="008F0AEF">
        <w:rPr>
          <w:sz w:val="20"/>
          <w:szCs w:val="20"/>
        </w:rPr>
        <w:t xml:space="preserve">. </w:t>
      </w:r>
      <w:r w:rsidR="00A00EAF" w:rsidRPr="008F0AEF">
        <w:rPr>
          <w:sz w:val="20"/>
          <w:szCs w:val="20"/>
        </w:rPr>
        <w:t xml:space="preserve">Dr. Shawn Brooks, Vice President for Student Affairs, attended the </w:t>
      </w:r>
      <w:r w:rsidR="00F03C55" w:rsidRPr="008F0AEF">
        <w:rPr>
          <w:sz w:val="20"/>
          <w:szCs w:val="20"/>
        </w:rPr>
        <w:t>October 4</w:t>
      </w:r>
      <w:r w:rsidR="00F03C55" w:rsidRPr="008F0AEF">
        <w:rPr>
          <w:sz w:val="20"/>
          <w:szCs w:val="20"/>
          <w:vertAlign w:val="superscript"/>
        </w:rPr>
        <w:t>th</w:t>
      </w:r>
      <w:r w:rsidR="00F03C55" w:rsidRPr="008F0AEF">
        <w:rPr>
          <w:sz w:val="20"/>
          <w:szCs w:val="20"/>
        </w:rPr>
        <w:t xml:space="preserve"> </w:t>
      </w:r>
      <w:r w:rsidR="00F03C55">
        <w:rPr>
          <w:sz w:val="20"/>
          <w:szCs w:val="20"/>
        </w:rPr>
        <w:t>APC meeting</w:t>
      </w:r>
      <w:r w:rsidR="00A00EAF" w:rsidRPr="008F0AEF">
        <w:rPr>
          <w:sz w:val="20"/>
          <w:szCs w:val="20"/>
        </w:rPr>
        <w:t xml:space="preserve">. He explained a bifurcated system whereby plagiarism charges that are </w:t>
      </w:r>
      <w:r w:rsidR="00F03C55">
        <w:rPr>
          <w:sz w:val="20"/>
          <w:szCs w:val="20"/>
        </w:rPr>
        <w:t>handled within Academic Affairs</w:t>
      </w:r>
      <w:r w:rsidR="00A00EAF" w:rsidRPr="008F0AEF">
        <w:rPr>
          <w:sz w:val="20"/>
          <w:szCs w:val="20"/>
        </w:rPr>
        <w:t xml:space="preserve"> </w:t>
      </w:r>
      <w:r w:rsidR="00F03C55">
        <w:rPr>
          <w:sz w:val="20"/>
          <w:szCs w:val="20"/>
        </w:rPr>
        <w:t>are only sent</w:t>
      </w:r>
      <w:r w:rsidR="00A00EAF" w:rsidRPr="008F0AEF">
        <w:rPr>
          <w:sz w:val="20"/>
          <w:szCs w:val="20"/>
        </w:rPr>
        <w:t xml:space="preserve"> to Student Affairs when it is time to </w:t>
      </w:r>
      <w:r w:rsidR="00A00EAF" w:rsidRPr="008F0AEF">
        <w:rPr>
          <w:sz w:val="20"/>
          <w:szCs w:val="20"/>
        </w:rPr>
        <w:lastRenderedPageBreak/>
        <w:t xml:space="preserve">suspend or dismiss a student. </w:t>
      </w:r>
      <w:r w:rsidR="00171C85" w:rsidRPr="008F0AEF">
        <w:rPr>
          <w:sz w:val="20"/>
          <w:szCs w:val="20"/>
        </w:rPr>
        <w:t xml:space="preserve">Otherwise, Student Life is not aware of the process in Academic Affairs or how cases end up in Student Life.  </w:t>
      </w:r>
      <w:r w:rsidR="00A00EAF" w:rsidRPr="008F0AEF">
        <w:rPr>
          <w:sz w:val="20"/>
          <w:szCs w:val="20"/>
        </w:rPr>
        <w:t xml:space="preserve"> </w:t>
      </w:r>
    </w:p>
    <w:p w14:paraId="61D7476B" w14:textId="77777777" w:rsidR="00171C85" w:rsidRPr="008F0AEF" w:rsidRDefault="00171C85" w:rsidP="001025BA">
      <w:pPr>
        <w:rPr>
          <w:sz w:val="20"/>
          <w:szCs w:val="20"/>
        </w:rPr>
      </w:pPr>
    </w:p>
    <w:p w14:paraId="06985C3A" w14:textId="77777777" w:rsidR="00171C85" w:rsidRPr="008F0AEF" w:rsidRDefault="00171C85" w:rsidP="001025BA">
      <w:pPr>
        <w:rPr>
          <w:b/>
          <w:sz w:val="20"/>
          <w:szCs w:val="20"/>
        </w:rPr>
      </w:pPr>
      <w:r w:rsidRPr="008F0AEF">
        <w:rPr>
          <w:sz w:val="20"/>
          <w:szCs w:val="20"/>
          <w:u w:val="single"/>
        </w:rPr>
        <w:t>Questions that were raised</w:t>
      </w:r>
      <w:r w:rsidRPr="008F0AEF">
        <w:rPr>
          <w:b/>
          <w:sz w:val="20"/>
          <w:szCs w:val="20"/>
        </w:rPr>
        <w:t xml:space="preserve">: </w:t>
      </w:r>
    </w:p>
    <w:p w14:paraId="29E37A9E" w14:textId="14A421CB" w:rsidR="008F0AEF" w:rsidRDefault="00171C85" w:rsidP="001025BA">
      <w:pPr>
        <w:pStyle w:val="ListParagraph"/>
        <w:numPr>
          <w:ilvl w:val="0"/>
          <w:numId w:val="3"/>
        </w:numPr>
        <w:rPr>
          <w:sz w:val="20"/>
          <w:szCs w:val="20"/>
        </w:rPr>
      </w:pPr>
      <w:r w:rsidRPr="008F0AEF">
        <w:rPr>
          <w:b/>
          <w:sz w:val="20"/>
          <w:szCs w:val="20"/>
        </w:rPr>
        <w:t>How can a faculty member know if a student</w:t>
      </w:r>
      <w:r w:rsidR="00F03C55">
        <w:rPr>
          <w:b/>
          <w:sz w:val="20"/>
          <w:szCs w:val="20"/>
        </w:rPr>
        <w:t>,</w:t>
      </w:r>
      <w:r w:rsidRPr="008F0AEF">
        <w:rPr>
          <w:b/>
          <w:sz w:val="20"/>
          <w:szCs w:val="20"/>
        </w:rPr>
        <w:t xml:space="preserve"> who </w:t>
      </w:r>
      <w:r w:rsidR="00F03C55">
        <w:rPr>
          <w:b/>
          <w:sz w:val="20"/>
          <w:szCs w:val="20"/>
        </w:rPr>
        <w:t>has cheated or plagiarized,</w:t>
      </w:r>
      <w:r w:rsidRPr="008F0AEF">
        <w:rPr>
          <w:b/>
          <w:sz w:val="20"/>
          <w:szCs w:val="20"/>
        </w:rPr>
        <w:t xml:space="preserve"> has committed</w:t>
      </w:r>
      <w:r w:rsidRPr="008F0AEF">
        <w:rPr>
          <w:sz w:val="20"/>
          <w:szCs w:val="20"/>
        </w:rPr>
        <w:t xml:space="preserve"> </w:t>
      </w:r>
      <w:r w:rsidRPr="008F0AEF">
        <w:rPr>
          <w:b/>
          <w:sz w:val="20"/>
          <w:szCs w:val="20"/>
        </w:rPr>
        <w:t>multiple acts of academic dishonesty in other courses</w:t>
      </w:r>
      <w:r w:rsidRPr="008F0AEF">
        <w:rPr>
          <w:sz w:val="20"/>
          <w:szCs w:val="20"/>
        </w:rPr>
        <w:t xml:space="preserve">? APC is interested in exploring a systematized reporting of academic dishonesty to help identify serial offenders. Committee members were to start conversations within their departments to discuss how academic dishonestly issues are handled. </w:t>
      </w:r>
    </w:p>
    <w:p w14:paraId="407383A3" w14:textId="77777777" w:rsidR="008F0AEF" w:rsidRDefault="00171C85" w:rsidP="001025BA">
      <w:pPr>
        <w:pStyle w:val="ListParagraph"/>
        <w:numPr>
          <w:ilvl w:val="0"/>
          <w:numId w:val="3"/>
        </w:numPr>
        <w:rPr>
          <w:sz w:val="20"/>
          <w:szCs w:val="20"/>
        </w:rPr>
      </w:pPr>
      <w:r w:rsidRPr="008F0AEF">
        <w:rPr>
          <w:b/>
          <w:sz w:val="20"/>
          <w:szCs w:val="20"/>
        </w:rPr>
        <w:t xml:space="preserve">Is it okay for faculty members to communicate academic dishonesty problems with certain students to other faculty members in the department? </w:t>
      </w:r>
      <w:r w:rsidRPr="008F0AEF">
        <w:rPr>
          <w:sz w:val="20"/>
          <w:szCs w:val="20"/>
        </w:rPr>
        <w:t xml:space="preserve">Faculty should consult with Legal Affairs. </w:t>
      </w:r>
    </w:p>
    <w:p w14:paraId="619856B3" w14:textId="322767BD" w:rsidR="00171C85" w:rsidRDefault="00171C85" w:rsidP="001025BA">
      <w:pPr>
        <w:pStyle w:val="ListParagraph"/>
        <w:numPr>
          <w:ilvl w:val="0"/>
          <w:numId w:val="3"/>
        </w:numPr>
        <w:rPr>
          <w:sz w:val="20"/>
          <w:szCs w:val="20"/>
        </w:rPr>
      </w:pPr>
      <w:r w:rsidRPr="008F0AEF">
        <w:rPr>
          <w:b/>
          <w:sz w:val="20"/>
          <w:szCs w:val="20"/>
        </w:rPr>
        <w:t xml:space="preserve">Why do faculty never hear about the outcome after reporting? </w:t>
      </w:r>
      <w:r w:rsidRPr="008F0AEF">
        <w:rPr>
          <w:sz w:val="20"/>
          <w:szCs w:val="20"/>
        </w:rPr>
        <w:t xml:space="preserve">The answer is unknown </w:t>
      </w:r>
      <w:r w:rsidR="006426A9" w:rsidRPr="008F0AEF">
        <w:rPr>
          <w:sz w:val="20"/>
          <w:szCs w:val="20"/>
        </w:rPr>
        <w:t>but likely is related to</w:t>
      </w:r>
      <w:r w:rsidRPr="008F0AEF">
        <w:rPr>
          <w:sz w:val="20"/>
          <w:szCs w:val="20"/>
        </w:rPr>
        <w:t xml:space="preserve"> FERPA. </w:t>
      </w:r>
    </w:p>
    <w:p w14:paraId="3799C820" w14:textId="77777777" w:rsidR="00F03C55" w:rsidRPr="00F03C55" w:rsidRDefault="00F03C55" w:rsidP="00F03C55">
      <w:pPr>
        <w:pStyle w:val="ListParagraph"/>
        <w:rPr>
          <w:sz w:val="20"/>
          <w:szCs w:val="20"/>
        </w:rPr>
      </w:pPr>
    </w:p>
    <w:p w14:paraId="758B52C9" w14:textId="44889CA6" w:rsidR="006426A9" w:rsidRPr="00F03C55" w:rsidRDefault="00171C85" w:rsidP="001025BA">
      <w:pPr>
        <w:rPr>
          <w:sz w:val="20"/>
          <w:szCs w:val="20"/>
          <w:u w:val="single"/>
        </w:rPr>
      </w:pPr>
      <w:r w:rsidRPr="008F0AEF">
        <w:rPr>
          <w:sz w:val="20"/>
          <w:szCs w:val="20"/>
          <w:u w:val="single"/>
        </w:rPr>
        <w:t>Conclusion:</w:t>
      </w:r>
      <w:r w:rsidR="00F03C55">
        <w:rPr>
          <w:sz w:val="20"/>
          <w:szCs w:val="20"/>
        </w:rPr>
        <w:t xml:space="preserve"> S</w:t>
      </w:r>
      <w:r w:rsidR="006426A9" w:rsidRPr="008F0AEF">
        <w:rPr>
          <w:sz w:val="20"/>
          <w:szCs w:val="20"/>
        </w:rPr>
        <w:t xml:space="preserve">tudents need </w:t>
      </w:r>
      <w:r w:rsidR="00F03C55">
        <w:rPr>
          <w:sz w:val="20"/>
          <w:szCs w:val="20"/>
        </w:rPr>
        <w:t xml:space="preserve">better </w:t>
      </w:r>
      <w:r w:rsidR="006426A9" w:rsidRPr="008F0AEF">
        <w:rPr>
          <w:sz w:val="20"/>
          <w:szCs w:val="20"/>
        </w:rPr>
        <w:t xml:space="preserve">education regarding academic dishonesty. </w:t>
      </w:r>
    </w:p>
    <w:p w14:paraId="7BAD2C57" w14:textId="77777777" w:rsidR="001025BA" w:rsidRPr="008F0AEF" w:rsidRDefault="001025BA" w:rsidP="00865BBB">
      <w:pPr>
        <w:rPr>
          <w:b/>
          <w:sz w:val="20"/>
          <w:szCs w:val="20"/>
        </w:rPr>
      </w:pPr>
    </w:p>
    <w:p w14:paraId="5887CFBE" w14:textId="77ECB61B" w:rsidR="00243D6E" w:rsidRPr="008F0AEF" w:rsidRDefault="00AB4AD4" w:rsidP="00B016CA">
      <w:pPr>
        <w:jc w:val="center"/>
        <w:rPr>
          <w:b/>
        </w:rPr>
      </w:pPr>
      <w:r w:rsidRPr="008F0AEF">
        <w:rPr>
          <w:b/>
        </w:rPr>
        <w:t>Student Behavior, Grievances, and Electronic Submission</w:t>
      </w:r>
    </w:p>
    <w:p w14:paraId="2F1ED201" w14:textId="0F902BE6" w:rsidR="00AE7329" w:rsidRPr="008F0AEF" w:rsidRDefault="00F03C55" w:rsidP="00865BBB">
      <w:pPr>
        <w:rPr>
          <w:sz w:val="20"/>
          <w:szCs w:val="20"/>
        </w:rPr>
      </w:pPr>
      <w:r>
        <w:rPr>
          <w:sz w:val="20"/>
          <w:szCs w:val="20"/>
        </w:rPr>
        <w:t>This item</w:t>
      </w:r>
      <w:r w:rsidR="00B016CA" w:rsidRPr="008F0AEF">
        <w:rPr>
          <w:sz w:val="20"/>
          <w:szCs w:val="20"/>
        </w:rPr>
        <w:t xml:space="preserve"> is another carryover from the 2018-19 senate session. </w:t>
      </w:r>
      <w:r w:rsidR="00391AEC" w:rsidRPr="008F0AEF">
        <w:rPr>
          <w:sz w:val="20"/>
          <w:szCs w:val="20"/>
        </w:rPr>
        <w:t xml:space="preserve">Specifically, </w:t>
      </w:r>
      <w:r w:rsidR="009F6587" w:rsidRPr="008F0AEF">
        <w:rPr>
          <w:sz w:val="20"/>
          <w:szCs w:val="20"/>
        </w:rPr>
        <w:t xml:space="preserve">the issues raised were: 1) </w:t>
      </w:r>
      <w:r w:rsidR="00391AEC" w:rsidRPr="008F0AEF">
        <w:rPr>
          <w:sz w:val="20"/>
          <w:szCs w:val="20"/>
        </w:rPr>
        <w:t xml:space="preserve">there is a mismatch between policies governing academic grievances in the </w:t>
      </w:r>
      <w:r>
        <w:rPr>
          <w:sz w:val="20"/>
          <w:szCs w:val="20"/>
        </w:rPr>
        <w:t>U</w:t>
      </w:r>
      <w:r w:rsidR="00391AEC" w:rsidRPr="008F0AEF">
        <w:rPr>
          <w:sz w:val="20"/>
          <w:szCs w:val="20"/>
        </w:rPr>
        <w:t>niversity Catalog (2018-201</w:t>
      </w:r>
      <w:r w:rsidR="009F6587" w:rsidRPr="008F0AEF">
        <w:rPr>
          <w:sz w:val="20"/>
          <w:szCs w:val="20"/>
        </w:rPr>
        <w:t>9) and in the Student Handbook; 2)</w:t>
      </w:r>
      <w:r w:rsidR="00391AEC" w:rsidRPr="008F0AEF">
        <w:rPr>
          <w:sz w:val="20"/>
          <w:szCs w:val="20"/>
        </w:rPr>
        <w:t xml:space="preserve"> the policy does not allow for interaction between a student and faculty member before escalating the situation to administrators, Legal Affairs, Title IX, etc.</w:t>
      </w:r>
      <w:r w:rsidR="009F6587" w:rsidRPr="008F0AEF">
        <w:rPr>
          <w:sz w:val="20"/>
          <w:szCs w:val="20"/>
        </w:rPr>
        <w:t>; and 3) having academic and non-academic grievan</w:t>
      </w:r>
      <w:r>
        <w:rPr>
          <w:sz w:val="20"/>
          <w:szCs w:val="20"/>
        </w:rPr>
        <w:t>ces and Title IX complaints listed on the same page</w:t>
      </w:r>
      <w:r w:rsidR="009F6587" w:rsidRPr="008F0AEF">
        <w:rPr>
          <w:sz w:val="20"/>
          <w:szCs w:val="20"/>
        </w:rPr>
        <w:t xml:space="preserve"> may be conf</w:t>
      </w:r>
      <w:r>
        <w:rPr>
          <w:sz w:val="20"/>
          <w:szCs w:val="20"/>
        </w:rPr>
        <w:t>using for</w:t>
      </w:r>
      <w:r w:rsidR="009F6587" w:rsidRPr="008F0AEF">
        <w:rPr>
          <w:sz w:val="20"/>
          <w:szCs w:val="20"/>
        </w:rPr>
        <w:t xml:space="preserve"> students. </w:t>
      </w:r>
      <w:r w:rsidR="00391AEC" w:rsidRPr="008F0AEF">
        <w:rPr>
          <w:sz w:val="20"/>
          <w:szCs w:val="20"/>
        </w:rPr>
        <w:t xml:space="preserve"> </w:t>
      </w:r>
    </w:p>
    <w:p w14:paraId="06BC34D9" w14:textId="77777777" w:rsidR="006A2A1B" w:rsidRPr="008F0AEF" w:rsidRDefault="006A2A1B" w:rsidP="00865BBB">
      <w:pPr>
        <w:rPr>
          <w:sz w:val="20"/>
          <w:szCs w:val="20"/>
        </w:rPr>
      </w:pPr>
    </w:p>
    <w:p w14:paraId="78152E38" w14:textId="0B31212C" w:rsidR="00AE7329" w:rsidRPr="008F0AEF" w:rsidRDefault="006A2A1B" w:rsidP="00865BBB">
      <w:pPr>
        <w:rPr>
          <w:sz w:val="20"/>
          <w:szCs w:val="20"/>
        </w:rPr>
      </w:pPr>
      <w:r w:rsidRPr="008F0AEF">
        <w:rPr>
          <w:sz w:val="20"/>
          <w:szCs w:val="20"/>
        </w:rPr>
        <w:t>Dr. Shawn Brooks also addressed this issue at the October 4</w:t>
      </w:r>
      <w:r w:rsidRPr="008F0AEF">
        <w:rPr>
          <w:sz w:val="20"/>
          <w:szCs w:val="20"/>
          <w:vertAlign w:val="superscript"/>
        </w:rPr>
        <w:t>th</w:t>
      </w:r>
      <w:r w:rsidR="00F03C55">
        <w:rPr>
          <w:sz w:val="20"/>
          <w:szCs w:val="20"/>
        </w:rPr>
        <w:t xml:space="preserve"> APC meeting. Earlier</w:t>
      </w:r>
      <w:r w:rsidRPr="008F0AEF">
        <w:rPr>
          <w:sz w:val="20"/>
          <w:szCs w:val="20"/>
        </w:rPr>
        <w:t xml:space="preserve"> that week, Stude</w:t>
      </w:r>
      <w:r w:rsidR="00F03C55">
        <w:rPr>
          <w:sz w:val="20"/>
          <w:szCs w:val="20"/>
        </w:rPr>
        <w:t>nt Life made changes to the way</w:t>
      </w:r>
      <w:r w:rsidRPr="008F0AEF">
        <w:rPr>
          <w:sz w:val="20"/>
          <w:szCs w:val="20"/>
        </w:rPr>
        <w:t xml:space="preserve"> they address student behavior</w:t>
      </w:r>
      <w:r w:rsidR="00F03C55">
        <w:rPr>
          <w:sz w:val="20"/>
          <w:szCs w:val="20"/>
        </w:rPr>
        <w:t xml:space="preserve"> complaints</w:t>
      </w:r>
      <w:r w:rsidRPr="008F0AEF">
        <w:rPr>
          <w:sz w:val="20"/>
          <w:szCs w:val="20"/>
        </w:rPr>
        <w:t>. Complaints go to one staff member who then assess</w:t>
      </w:r>
      <w:r w:rsidR="00F03C55">
        <w:rPr>
          <w:sz w:val="20"/>
          <w:szCs w:val="20"/>
        </w:rPr>
        <w:t>es</w:t>
      </w:r>
      <w:r w:rsidRPr="008F0AEF">
        <w:rPr>
          <w:sz w:val="20"/>
          <w:szCs w:val="20"/>
        </w:rPr>
        <w:t xml:space="preserve"> the complaint and sends it to the appropriate office. This should help distinguish between freedom of expression issues and issues that are actionable complaints. Student complaints on faculty issues will go first to faculty, then to department chair, and up the established chain (via Academic Affairs). Faculty complaints about student conduct will go to Student Life. </w:t>
      </w:r>
    </w:p>
    <w:p w14:paraId="58ADC910" w14:textId="77777777" w:rsidR="001025BA" w:rsidRDefault="001025BA" w:rsidP="00865BBB"/>
    <w:p w14:paraId="6E4C27CB" w14:textId="77777777" w:rsidR="008B58ED" w:rsidRDefault="001025BA" w:rsidP="008B58ED">
      <w:pPr>
        <w:jc w:val="center"/>
        <w:rPr>
          <w:b/>
        </w:rPr>
      </w:pPr>
      <w:r w:rsidRPr="009F483D">
        <w:rPr>
          <w:b/>
        </w:rPr>
        <w:t>Discussion of Prohibitions and Penalties G</w:t>
      </w:r>
      <w:r w:rsidR="008B58ED">
        <w:rPr>
          <w:b/>
        </w:rPr>
        <w:t>uide</w:t>
      </w:r>
    </w:p>
    <w:p w14:paraId="7F12A9C2" w14:textId="50D8850E" w:rsidR="00C73281" w:rsidRPr="008F0AEF" w:rsidRDefault="00CA1170" w:rsidP="008B58ED">
      <w:pPr>
        <w:rPr>
          <w:sz w:val="20"/>
          <w:szCs w:val="20"/>
        </w:rPr>
      </w:pPr>
      <w:r w:rsidRPr="008F0AEF">
        <w:rPr>
          <w:sz w:val="20"/>
          <w:szCs w:val="20"/>
        </w:rPr>
        <w:t>This item was raised by a committee member at the October 4</w:t>
      </w:r>
      <w:r w:rsidRPr="008F0AEF">
        <w:rPr>
          <w:sz w:val="20"/>
          <w:szCs w:val="20"/>
          <w:vertAlign w:val="superscript"/>
        </w:rPr>
        <w:t>th</w:t>
      </w:r>
      <w:r w:rsidRPr="008F0AEF">
        <w:rPr>
          <w:sz w:val="20"/>
          <w:szCs w:val="20"/>
        </w:rPr>
        <w:t xml:space="preserve"> APC meeting. </w:t>
      </w:r>
      <w:r w:rsidR="00C73281" w:rsidRPr="008F0AEF">
        <w:rPr>
          <w:sz w:val="20"/>
          <w:szCs w:val="20"/>
        </w:rPr>
        <w:t xml:space="preserve">The </w:t>
      </w:r>
      <w:r w:rsidR="0026516D" w:rsidRPr="008F0AEF">
        <w:rPr>
          <w:sz w:val="20"/>
          <w:szCs w:val="20"/>
        </w:rPr>
        <w:t>Penalties and Prohibitions G</w:t>
      </w:r>
      <w:r w:rsidR="00C73281" w:rsidRPr="008F0AEF">
        <w:rPr>
          <w:sz w:val="20"/>
          <w:szCs w:val="20"/>
        </w:rPr>
        <w:t>uide</w:t>
      </w:r>
      <w:r w:rsidR="00F51C54" w:rsidRPr="008F0AEF">
        <w:rPr>
          <w:sz w:val="20"/>
          <w:szCs w:val="20"/>
        </w:rPr>
        <w:t xml:space="preserve"> includes a rubric for disc</w:t>
      </w:r>
      <w:r w:rsidR="00C73281" w:rsidRPr="008F0AEF">
        <w:rPr>
          <w:sz w:val="20"/>
          <w:szCs w:val="20"/>
        </w:rPr>
        <w:t xml:space="preserve">iplinary action. </w:t>
      </w:r>
      <w:r w:rsidR="00F51C54" w:rsidRPr="008F0AEF">
        <w:rPr>
          <w:sz w:val="20"/>
          <w:szCs w:val="20"/>
        </w:rPr>
        <w:t>GC’s Chief Human Resources Officer, Carol Ward, attended</w:t>
      </w:r>
      <w:r w:rsidR="00C73281" w:rsidRPr="008F0AEF">
        <w:rPr>
          <w:sz w:val="20"/>
          <w:szCs w:val="20"/>
        </w:rPr>
        <w:t xml:space="preserve"> the November 1</w:t>
      </w:r>
      <w:r w:rsidR="00C73281" w:rsidRPr="008F0AEF">
        <w:rPr>
          <w:sz w:val="20"/>
          <w:szCs w:val="20"/>
          <w:vertAlign w:val="superscript"/>
        </w:rPr>
        <w:t>st</w:t>
      </w:r>
      <w:r w:rsidR="00C73281" w:rsidRPr="008F0AEF">
        <w:rPr>
          <w:sz w:val="20"/>
          <w:szCs w:val="20"/>
        </w:rPr>
        <w:t xml:space="preserve"> APC meeting</w:t>
      </w:r>
      <w:r w:rsidR="00F51C54" w:rsidRPr="008F0AEF">
        <w:rPr>
          <w:sz w:val="20"/>
          <w:szCs w:val="20"/>
        </w:rPr>
        <w:t xml:space="preserve">. She explained that the guide was created by Human Resources and Legal Affairs in 2012 and applies to faculty and staff. </w:t>
      </w:r>
      <w:r w:rsidR="00D201AF">
        <w:rPr>
          <w:sz w:val="20"/>
          <w:szCs w:val="20"/>
        </w:rPr>
        <w:t xml:space="preserve">Committee members raised that concern that </w:t>
      </w:r>
      <w:r w:rsidR="00C73281" w:rsidRPr="008F0AEF">
        <w:rPr>
          <w:sz w:val="20"/>
          <w:szCs w:val="20"/>
        </w:rPr>
        <w:t>most faculty a</w:t>
      </w:r>
      <w:r w:rsidR="00AE190B" w:rsidRPr="008F0AEF">
        <w:rPr>
          <w:sz w:val="20"/>
          <w:szCs w:val="20"/>
        </w:rPr>
        <w:t>re not aware of this guide. Ms. Ward explained that new employees are given training on this during orientation and that all employees acknowledge that they are aware of the guide in the annual compliance</w:t>
      </w:r>
      <w:r w:rsidR="00C73281" w:rsidRPr="008F0AEF">
        <w:rPr>
          <w:sz w:val="20"/>
          <w:szCs w:val="20"/>
        </w:rPr>
        <w:t xml:space="preserve"> training (though there was no link to the guide in the annual training). </w:t>
      </w:r>
    </w:p>
    <w:p w14:paraId="31A4FDB2" w14:textId="77777777" w:rsidR="00C73281" w:rsidRPr="008F0AEF" w:rsidRDefault="00C73281" w:rsidP="008B58ED">
      <w:pPr>
        <w:rPr>
          <w:sz w:val="20"/>
          <w:szCs w:val="20"/>
        </w:rPr>
      </w:pPr>
    </w:p>
    <w:p w14:paraId="6D4EC882" w14:textId="30114852" w:rsidR="0026516D" w:rsidRPr="008F0AEF" w:rsidRDefault="0026516D" w:rsidP="008B58ED">
      <w:pPr>
        <w:rPr>
          <w:sz w:val="20"/>
          <w:szCs w:val="20"/>
        </w:rPr>
      </w:pPr>
      <w:r w:rsidRPr="008F0AEF">
        <w:rPr>
          <w:sz w:val="20"/>
          <w:szCs w:val="20"/>
        </w:rPr>
        <w:t>Ms. Ward explained that the document is intended to be education</w:t>
      </w:r>
      <w:r w:rsidR="00D90F59" w:rsidRPr="008F0AEF">
        <w:rPr>
          <w:sz w:val="20"/>
          <w:szCs w:val="20"/>
        </w:rPr>
        <w:t>al</w:t>
      </w:r>
      <w:r w:rsidRPr="008F0AEF">
        <w:rPr>
          <w:sz w:val="20"/>
          <w:szCs w:val="20"/>
        </w:rPr>
        <w:t xml:space="preserve"> and </w:t>
      </w:r>
      <w:r w:rsidR="00D90F59" w:rsidRPr="008F0AEF">
        <w:rPr>
          <w:sz w:val="20"/>
          <w:szCs w:val="20"/>
        </w:rPr>
        <w:t>as</w:t>
      </w:r>
      <w:r w:rsidRPr="008F0AEF">
        <w:rPr>
          <w:sz w:val="20"/>
          <w:szCs w:val="20"/>
        </w:rPr>
        <w:t xml:space="preserve"> a path forward for improvement. It offers clear guidelines for addressing problems as they arise. If staff or faculty fail to follow the policies, the guide communicates to supervisors and department chairs on th</w:t>
      </w:r>
      <w:r w:rsidR="00B0465B">
        <w:rPr>
          <w:sz w:val="20"/>
          <w:szCs w:val="20"/>
        </w:rPr>
        <w:t xml:space="preserve">e appropriate steps to </w:t>
      </w:r>
      <w:r w:rsidRPr="008F0AEF">
        <w:rPr>
          <w:sz w:val="20"/>
          <w:szCs w:val="20"/>
        </w:rPr>
        <w:t xml:space="preserve">be taken. The document was created to improve consistency across units but the problem is that supervisors and chairs apply the document differently. </w:t>
      </w:r>
    </w:p>
    <w:p w14:paraId="785DD110" w14:textId="77777777" w:rsidR="00D90F59" w:rsidRPr="008F0AEF" w:rsidRDefault="00D90F59" w:rsidP="008B58ED">
      <w:pPr>
        <w:rPr>
          <w:sz w:val="20"/>
          <w:szCs w:val="20"/>
        </w:rPr>
      </w:pPr>
    </w:p>
    <w:p w14:paraId="5F419B3B" w14:textId="722B4B13" w:rsidR="00200392" w:rsidRPr="008F0AEF" w:rsidRDefault="00D90F59" w:rsidP="008B58ED">
      <w:pPr>
        <w:rPr>
          <w:sz w:val="20"/>
          <w:szCs w:val="20"/>
        </w:rPr>
      </w:pPr>
      <w:r w:rsidRPr="008F0AEF">
        <w:rPr>
          <w:sz w:val="20"/>
          <w:szCs w:val="20"/>
        </w:rPr>
        <w:t xml:space="preserve">APC committee members were most concerned that the guide appears to be written for staff and then is applied to faculty (e.g., abiding by the dress code). </w:t>
      </w:r>
      <w:r w:rsidR="00316614" w:rsidRPr="008F0AEF">
        <w:rPr>
          <w:sz w:val="20"/>
          <w:szCs w:val="20"/>
        </w:rPr>
        <w:t xml:space="preserve">It is not clear if any faculty were involved in the original drafting of the document. </w:t>
      </w:r>
      <w:r w:rsidR="00200392" w:rsidRPr="008F0AEF">
        <w:rPr>
          <w:sz w:val="20"/>
          <w:szCs w:val="20"/>
        </w:rPr>
        <w:t>The APC chair took this item to ECUS on November 1</w:t>
      </w:r>
      <w:r w:rsidR="00200392" w:rsidRPr="008F0AEF">
        <w:rPr>
          <w:sz w:val="20"/>
          <w:szCs w:val="20"/>
          <w:vertAlign w:val="superscript"/>
        </w:rPr>
        <w:t>st</w:t>
      </w:r>
      <w:r w:rsidR="00200392" w:rsidRPr="008F0AEF">
        <w:rPr>
          <w:sz w:val="20"/>
          <w:szCs w:val="20"/>
        </w:rPr>
        <w:t xml:space="preserve"> and the issue was steered to FAPC. </w:t>
      </w:r>
    </w:p>
    <w:p w14:paraId="42FA6B3A" w14:textId="77777777" w:rsidR="00AB4AD4" w:rsidRPr="00E362A9" w:rsidRDefault="00AB4AD4" w:rsidP="00865BBB"/>
    <w:p w14:paraId="44AAC8F0" w14:textId="77777777" w:rsidR="00865BBB" w:rsidRPr="00E362A9" w:rsidRDefault="00865BBB" w:rsidP="00865BBB">
      <w:r w:rsidRPr="00E362A9">
        <w:rPr>
          <w:b/>
          <w:bCs/>
        </w:rPr>
        <w:t>Ad hoc committees and other groups:</w:t>
      </w:r>
    </w:p>
    <w:p w14:paraId="420BE77D" w14:textId="687E8381" w:rsidR="00865BBB" w:rsidRPr="00B0465B" w:rsidRDefault="00243D6E" w:rsidP="00865BBB">
      <w:pPr>
        <w:rPr>
          <w:sz w:val="20"/>
          <w:szCs w:val="20"/>
        </w:rPr>
      </w:pPr>
      <w:r w:rsidRPr="00B0465B">
        <w:rPr>
          <w:i/>
          <w:iCs/>
          <w:sz w:val="20"/>
          <w:szCs w:val="20"/>
        </w:rPr>
        <w:t>None</w:t>
      </w:r>
    </w:p>
    <w:p w14:paraId="5DBC7828" w14:textId="77777777" w:rsidR="00865BBB" w:rsidRPr="00B0465B" w:rsidRDefault="00865BBB" w:rsidP="00865BBB">
      <w:pPr>
        <w:rPr>
          <w:sz w:val="20"/>
          <w:szCs w:val="20"/>
        </w:rPr>
      </w:pPr>
      <w:r w:rsidRPr="00B0465B">
        <w:rPr>
          <w:sz w:val="20"/>
          <w:szCs w:val="20"/>
        </w:rPr>
        <w:t> </w:t>
      </w:r>
    </w:p>
    <w:p w14:paraId="225A76E4" w14:textId="77777777" w:rsidR="00865BBB" w:rsidRPr="00E362A9" w:rsidRDefault="00865BBB" w:rsidP="00865BBB">
      <w:r w:rsidRPr="00F33D6D">
        <w:rPr>
          <w:b/>
          <w:bCs/>
        </w:rPr>
        <w:t>Committee Reflections:</w:t>
      </w:r>
    </w:p>
    <w:p w14:paraId="038FD2F0" w14:textId="77777777" w:rsidR="00865BBB" w:rsidRPr="0078182A" w:rsidRDefault="00865BBB" w:rsidP="00865BBB">
      <w:pPr>
        <w:rPr>
          <w:sz w:val="20"/>
          <w:szCs w:val="20"/>
        </w:rPr>
      </w:pPr>
      <w:r w:rsidRPr="0078182A">
        <w:rPr>
          <w:i/>
          <w:iCs/>
          <w:sz w:val="20"/>
          <w:szCs w:val="20"/>
        </w:rPr>
        <w:t>What worked well, what did not work so well.  Given your charge, how did you spend your time?</w:t>
      </w:r>
    </w:p>
    <w:p w14:paraId="27F42947" w14:textId="77777777" w:rsidR="0061734A" w:rsidRDefault="0061734A" w:rsidP="00865BBB">
      <w:pPr>
        <w:rPr>
          <w:sz w:val="20"/>
          <w:szCs w:val="20"/>
          <w:u w:val="single"/>
        </w:rPr>
      </w:pPr>
    </w:p>
    <w:p w14:paraId="629A7749" w14:textId="69A988DB" w:rsidR="0061734A" w:rsidRPr="0061734A" w:rsidRDefault="0061734A" w:rsidP="00865BBB">
      <w:pPr>
        <w:rPr>
          <w:sz w:val="20"/>
          <w:szCs w:val="20"/>
          <w:u w:val="single"/>
        </w:rPr>
      </w:pPr>
      <w:r>
        <w:rPr>
          <w:sz w:val="20"/>
          <w:szCs w:val="20"/>
          <w:u w:val="single"/>
        </w:rPr>
        <w:t xml:space="preserve">Feedback on </w:t>
      </w:r>
      <w:r w:rsidRPr="0061734A">
        <w:rPr>
          <w:sz w:val="20"/>
          <w:szCs w:val="20"/>
          <w:u w:val="single"/>
        </w:rPr>
        <w:t xml:space="preserve">Committee </w:t>
      </w:r>
      <w:r w:rsidR="006A67ED" w:rsidRPr="0061734A">
        <w:rPr>
          <w:sz w:val="20"/>
          <w:szCs w:val="20"/>
          <w:u w:val="single"/>
        </w:rPr>
        <w:t>Meeting</w:t>
      </w:r>
      <w:r w:rsidRPr="0061734A">
        <w:rPr>
          <w:sz w:val="20"/>
          <w:szCs w:val="20"/>
          <w:u w:val="single"/>
        </w:rPr>
        <w:t>s:</w:t>
      </w:r>
    </w:p>
    <w:p w14:paraId="57BE1C60" w14:textId="77777777" w:rsidR="0061734A" w:rsidRDefault="0061734A" w:rsidP="0061734A">
      <w:pPr>
        <w:pStyle w:val="ListParagraph"/>
        <w:numPr>
          <w:ilvl w:val="0"/>
          <w:numId w:val="4"/>
        </w:numPr>
        <w:rPr>
          <w:sz w:val="20"/>
          <w:szCs w:val="20"/>
        </w:rPr>
      </w:pPr>
      <w:r w:rsidRPr="0061734A">
        <w:rPr>
          <w:sz w:val="20"/>
          <w:szCs w:val="20"/>
        </w:rPr>
        <w:t>The</w:t>
      </w:r>
      <w:r w:rsidR="006A67ED" w:rsidRPr="0061734A">
        <w:rPr>
          <w:sz w:val="20"/>
          <w:szCs w:val="20"/>
        </w:rPr>
        <w:t xml:space="preserve"> times and locations worked well. </w:t>
      </w:r>
    </w:p>
    <w:p w14:paraId="24FE6276" w14:textId="77777777" w:rsidR="0061734A" w:rsidRDefault="0061734A" w:rsidP="0061734A">
      <w:pPr>
        <w:pStyle w:val="ListParagraph"/>
        <w:numPr>
          <w:ilvl w:val="0"/>
          <w:numId w:val="4"/>
        </w:numPr>
        <w:rPr>
          <w:sz w:val="20"/>
          <w:szCs w:val="20"/>
        </w:rPr>
      </w:pPr>
      <w:r w:rsidRPr="0061734A">
        <w:rPr>
          <w:sz w:val="20"/>
          <w:szCs w:val="20"/>
        </w:rPr>
        <w:t>We had a g</w:t>
      </w:r>
      <w:r w:rsidR="006A67ED" w:rsidRPr="0061734A">
        <w:rPr>
          <w:sz w:val="20"/>
          <w:szCs w:val="20"/>
        </w:rPr>
        <w:t>ood turnout</w:t>
      </w:r>
      <w:r w:rsidRPr="0061734A">
        <w:rPr>
          <w:sz w:val="20"/>
          <w:szCs w:val="20"/>
        </w:rPr>
        <w:t xml:space="preserve"> for each meeting</w:t>
      </w:r>
      <w:r w:rsidR="006A67ED" w:rsidRPr="0061734A">
        <w:rPr>
          <w:sz w:val="20"/>
          <w:szCs w:val="20"/>
        </w:rPr>
        <w:t>.</w:t>
      </w:r>
      <w:r w:rsidRPr="0061734A">
        <w:rPr>
          <w:sz w:val="20"/>
          <w:szCs w:val="20"/>
        </w:rPr>
        <w:t xml:space="preserve"> </w:t>
      </w:r>
    </w:p>
    <w:p w14:paraId="3F9BE6F4" w14:textId="541C6CAD" w:rsidR="00865BBB" w:rsidRPr="0061734A" w:rsidRDefault="0061734A" w:rsidP="0061734A">
      <w:pPr>
        <w:pStyle w:val="ListParagraph"/>
        <w:numPr>
          <w:ilvl w:val="0"/>
          <w:numId w:val="4"/>
        </w:numPr>
        <w:rPr>
          <w:sz w:val="20"/>
          <w:szCs w:val="20"/>
        </w:rPr>
      </w:pPr>
      <w:r w:rsidRPr="0061734A">
        <w:rPr>
          <w:sz w:val="20"/>
          <w:szCs w:val="20"/>
        </w:rPr>
        <w:t>Meeting</w:t>
      </w:r>
      <w:r>
        <w:rPr>
          <w:sz w:val="20"/>
          <w:szCs w:val="20"/>
        </w:rPr>
        <w:t>s were run efficiently.</w:t>
      </w:r>
    </w:p>
    <w:p w14:paraId="52C51615" w14:textId="77777777" w:rsidR="0061734A" w:rsidRDefault="0061734A" w:rsidP="00865BBB">
      <w:pPr>
        <w:rPr>
          <w:sz w:val="20"/>
          <w:szCs w:val="20"/>
        </w:rPr>
      </w:pPr>
    </w:p>
    <w:p w14:paraId="5CE05BF6" w14:textId="77777777" w:rsidR="0061734A" w:rsidRDefault="0061734A" w:rsidP="00865BBB">
      <w:pPr>
        <w:rPr>
          <w:sz w:val="20"/>
          <w:szCs w:val="20"/>
          <w:u w:val="single"/>
        </w:rPr>
      </w:pPr>
    </w:p>
    <w:p w14:paraId="6DED17EA" w14:textId="0828692C" w:rsidR="0061734A" w:rsidRPr="0061734A" w:rsidRDefault="006A67ED" w:rsidP="00865BBB">
      <w:pPr>
        <w:rPr>
          <w:sz w:val="20"/>
          <w:szCs w:val="20"/>
          <w:u w:val="single"/>
        </w:rPr>
      </w:pPr>
      <w:r w:rsidRPr="0061734A">
        <w:rPr>
          <w:sz w:val="20"/>
          <w:szCs w:val="20"/>
          <w:u w:val="single"/>
        </w:rPr>
        <w:lastRenderedPageBreak/>
        <w:t xml:space="preserve">Feedback for </w:t>
      </w:r>
      <w:r w:rsidR="0061734A" w:rsidRPr="0061734A">
        <w:rPr>
          <w:sz w:val="20"/>
          <w:szCs w:val="20"/>
          <w:u w:val="single"/>
        </w:rPr>
        <w:t xml:space="preserve">the Executive Committee of the </w:t>
      </w:r>
      <w:r w:rsidR="0061734A" w:rsidRPr="0061734A">
        <w:rPr>
          <w:sz w:val="20"/>
          <w:szCs w:val="20"/>
          <w:u w:val="single"/>
        </w:rPr>
        <w:t>University Senate</w:t>
      </w:r>
      <w:r w:rsidR="0061734A" w:rsidRPr="0061734A">
        <w:rPr>
          <w:sz w:val="20"/>
          <w:szCs w:val="20"/>
          <w:u w:val="single"/>
        </w:rPr>
        <w:t xml:space="preserve"> (ECUS):</w:t>
      </w:r>
    </w:p>
    <w:p w14:paraId="64AD7587" w14:textId="4C00818C" w:rsidR="0061734A" w:rsidRPr="00B97A3A" w:rsidRDefault="0061734A" w:rsidP="00B97A3A">
      <w:pPr>
        <w:rPr>
          <w:sz w:val="20"/>
          <w:szCs w:val="20"/>
        </w:rPr>
      </w:pPr>
      <w:r w:rsidRPr="00B97A3A">
        <w:rPr>
          <w:sz w:val="20"/>
          <w:szCs w:val="20"/>
        </w:rPr>
        <w:t xml:space="preserve">Limit the guest speakers at senate meetings to policy-related matters. </w:t>
      </w:r>
    </w:p>
    <w:p w14:paraId="5C79EA91" w14:textId="77777777" w:rsidR="00E96AE6" w:rsidRPr="00E362A9" w:rsidRDefault="00E96AE6" w:rsidP="00865BBB"/>
    <w:p w14:paraId="5AF7E718" w14:textId="77777777" w:rsidR="00865BBB" w:rsidRPr="00E362A9" w:rsidRDefault="00865BBB" w:rsidP="00865BBB">
      <w:r w:rsidRPr="00F33D6D">
        <w:rPr>
          <w:b/>
          <w:bCs/>
        </w:rPr>
        <w:t>Committee Recommendations:</w:t>
      </w:r>
    </w:p>
    <w:p w14:paraId="7369765B" w14:textId="77777777" w:rsidR="00865BBB" w:rsidRPr="0078182A" w:rsidRDefault="00865BBB" w:rsidP="00865BBB">
      <w:pPr>
        <w:rPr>
          <w:sz w:val="20"/>
          <w:szCs w:val="20"/>
        </w:rPr>
      </w:pPr>
      <w:r w:rsidRPr="0078182A">
        <w:rPr>
          <w:i/>
          <w:iCs/>
          <w:sz w:val="20"/>
          <w:szCs w:val="20"/>
        </w:rPr>
        <w:t>Advice to the membership of the committee for the next academic year such as:</w:t>
      </w:r>
    </w:p>
    <w:p w14:paraId="2FEE7DD1" w14:textId="77777777" w:rsidR="00865BBB" w:rsidRPr="0078182A" w:rsidRDefault="00865BBB" w:rsidP="00865BBB">
      <w:pPr>
        <w:rPr>
          <w:sz w:val="20"/>
          <w:szCs w:val="20"/>
        </w:rPr>
      </w:pPr>
      <w:r w:rsidRPr="0078182A">
        <w:rPr>
          <w:i/>
          <w:iCs/>
          <w:sz w:val="20"/>
          <w:szCs w:val="20"/>
        </w:rPr>
        <w:t>Are there any issues that should be considered by this committee the following year?</w:t>
      </w:r>
    </w:p>
    <w:p w14:paraId="6B5D7F09" w14:textId="77777777" w:rsidR="00865BBB" w:rsidRPr="0078182A" w:rsidRDefault="00865BBB" w:rsidP="00865BBB">
      <w:pPr>
        <w:rPr>
          <w:sz w:val="20"/>
          <w:szCs w:val="20"/>
        </w:rPr>
      </w:pPr>
      <w:r w:rsidRPr="0078182A">
        <w:rPr>
          <w:i/>
          <w:iCs/>
          <w:sz w:val="20"/>
          <w:szCs w:val="20"/>
        </w:rPr>
        <w:t>Are there any issues that this year's committee was unable to complete its work on?</w:t>
      </w:r>
    </w:p>
    <w:p w14:paraId="7CDF5A60" w14:textId="77777777" w:rsidR="00865BBB" w:rsidRPr="0078182A" w:rsidRDefault="00865BBB" w:rsidP="00865BBB">
      <w:pPr>
        <w:rPr>
          <w:sz w:val="20"/>
          <w:szCs w:val="20"/>
        </w:rPr>
      </w:pPr>
      <w:r w:rsidRPr="0078182A">
        <w:rPr>
          <w:i/>
          <w:iCs/>
          <w:sz w:val="20"/>
          <w:szCs w:val="20"/>
        </w:rPr>
        <w:t>Do any of this year's committee actions require follow-up?  (i.e. a policy was drafted, but there was a recommendation for a review of the policy during the following year.)</w:t>
      </w:r>
    </w:p>
    <w:p w14:paraId="1F9B1A79" w14:textId="77777777" w:rsidR="00865BBB" w:rsidRPr="0078182A" w:rsidRDefault="00865BBB" w:rsidP="00865BBB">
      <w:pPr>
        <w:rPr>
          <w:i/>
          <w:iCs/>
          <w:sz w:val="20"/>
          <w:szCs w:val="20"/>
        </w:rPr>
      </w:pPr>
      <w:r w:rsidRPr="0078182A">
        <w:rPr>
          <w:i/>
          <w:iCs/>
          <w:sz w:val="20"/>
          <w:szCs w:val="20"/>
        </w:rPr>
        <w:t>Recommendations on calendar (meeting times, outline items that you expect would be considered annually)</w:t>
      </w:r>
    </w:p>
    <w:p w14:paraId="4CE9A8E4" w14:textId="77777777" w:rsidR="00323799" w:rsidRPr="0078182A" w:rsidRDefault="00323799" w:rsidP="00865BBB">
      <w:pPr>
        <w:rPr>
          <w:i/>
          <w:iCs/>
          <w:sz w:val="20"/>
          <w:szCs w:val="20"/>
        </w:rPr>
      </w:pPr>
    </w:p>
    <w:p w14:paraId="352934CA" w14:textId="4E083643" w:rsidR="0061734A" w:rsidRDefault="0061734A" w:rsidP="00865BBB">
      <w:pPr>
        <w:rPr>
          <w:sz w:val="20"/>
          <w:szCs w:val="20"/>
        </w:rPr>
      </w:pPr>
      <w:r>
        <w:rPr>
          <w:sz w:val="20"/>
          <w:szCs w:val="20"/>
        </w:rPr>
        <w:t xml:space="preserve">The </w:t>
      </w:r>
      <w:r w:rsidR="00B97A3A">
        <w:rPr>
          <w:sz w:val="20"/>
          <w:szCs w:val="20"/>
        </w:rPr>
        <w:t>20</w:t>
      </w:r>
      <w:r>
        <w:rPr>
          <w:sz w:val="20"/>
          <w:szCs w:val="20"/>
        </w:rPr>
        <w:t>20-</w:t>
      </w:r>
      <w:r w:rsidR="00B97A3A">
        <w:rPr>
          <w:sz w:val="20"/>
          <w:szCs w:val="20"/>
        </w:rPr>
        <w:t>20</w:t>
      </w:r>
      <w:r>
        <w:rPr>
          <w:sz w:val="20"/>
          <w:szCs w:val="20"/>
        </w:rPr>
        <w:t xml:space="preserve">21 Academic Policy Committee may want to revisit the Copyright Policy motion to the Required Syllabus Statements. </w:t>
      </w:r>
      <w:r w:rsidR="00932F55">
        <w:rPr>
          <w:sz w:val="20"/>
          <w:szCs w:val="20"/>
        </w:rPr>
        <w:t xml:space="preserve">Below are the </w:t>
      </w:r>
      <w:r w:rsidR="00F33D6D">
        <w:rPr>
          <w:sz w:val="20"/>
          <w:szCs w:val="20"/>
        </w:rPr>
        <w:t>questions and comments</w:t>
      </w:r>
      <w:r w:rsidR="00B97A3A">
        <w:rPr>
          <w:sz w:val="20"/>
          <w:szCs w:val="20"/>
        </w:rPr>
        <w:t xml:space="preserve"> that were brought forth</w:t>
      </w:r>
      <w:r w:rsidR="00932F55">
        <w:rPr>
          <w:sz w:val="20"/>
          <w:szCs w:val="20"/>
        </w:rPr>
        <w:t xml:space="preserve"> after the motion was circulated to senate members:</w:t>
      </w:r>
    </w:p>
    <w:p w14:paraId="31745EF7" w14:textId="77777777" w:rsidR="00F33D6D" w:rsidRDefault="00F33D6D" w:rsidP="00F33D6D">
      <w:pPr>
        <w:pStyle w:val="NormalWeb"/>
        <w:spacing w:before="0" w:beforeAutospacing="0" w:after="0" w:afterAutospacing="0"/>
        <w:textAlignment w:val="baseline"/>
        <w:rPr>
          <w:rFonts w:ascii="inherit" w:hAnsi="inherit" w:cs="Segoe UI"/>
          <w:color w:val="000000"/>
          <w:bdr w:val="none" w:sz="0" w:space="0" w:color="auto" w:frame="1"/>
          <w:shd w:val="clear" w:color="auto" w:fill="FFFFFF"/>
        </w:rPr>
      </w:pPr>
    </w:p>
    <w:p w14:paraId="4A0B4203" w14:textId="4B2193F3"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 xml:space="preserve">1) </w:t>
      </w:r>
      <w:r w:rsidRPr="00F33D6D">
        <w:rPr>
          <w:rFonts w:ascii="inherit" w:hAnsi="inherit" w:cs="Segoe UI"/>
          <w:color w:val="000000"/>
          <w:sz w:val="20"/>
          <w:szCs w:val="20"/>
          <w:u w:val="single"/>
          <w:bdr w:val="none" w:sz="0" w:space="0" w:color="auto" w:frame="1"/>
          <w:shd w:val="clear" w:color="auto" w:fill="FFFFFF"/>
        </w:rPr>
        <w:t>Question</w:t>
      </w:r>
      <w:r w:rsidRPr="00F33D6D">
        <w:rPr>
          <w:rFonts w:ascii="inherit" w:hAnsi="inherit" w:cs="Segoe UI"/>
          <w:color w:val="000000"/>
          <w:sz w:val="20"/>
          <w:szCs w:val="20"/>
          <w:bdr w:val="none" w:sz="0" w:space="0" w:color="auto" w:frame="1"/>
          <w:shd w:val="clear" w:color="auto" w:fill="FFFFFF"/>
        </w:rPr>
        <w:t xml:space="preserve">: While one sentence </w:t>
      </w:r>
      <w:proofErr w:type="gramStart"/>
      <w:r w:rsidRPr="00F33D6D">
        <w:rPr>
          <w:rFonts w:ascii="inherit" w:hAnsi="inherit" w:cs="Segoe UI"/>
          <w:color w:val="000000"/>
          <w:sz w:val="20"/>
          <w:szCs w:val="20"/>
          <w:bdr w:val="none" w:sz="0" w:space="0" w:color="auto" w:frame="1"/>
          <w:shd w:val="clear" w:color="auto" w:fill="FFFFFF"/>
        </w:rPr>
        <w:t>says</w:t>
      </w:r>
      <w:proofErr w:type="gramEnd"/>
      <w:r w:rsidRPr="00F33D6D">
        <w:rPr>
          <w:rFonts w:ascii="inherit" w:hAnsi="inherit" w:cs="Segoe UI"/>
          <w:color w:val="000000"/>
          <w:sz w:val="20"/>
          <w:szCs w:val="20"/>
          <w:bdr w:val="none" w:sz="0" w:space="0" w:color="auto" w:frame="1"/>
          <w:shd w:val="clear" w:color="auto" w:fill="FFFFFF"/>
        </w:rPr>
        <w:t xml:space="preserve"> the </w:t>
      </w:r>
      <w:r w:rsidRPr="00F33D6D">
        <w:rPr>
          <w:rFonts w:ascii="inherit" w:hAnsi="inherit" w:cs="Segoe UI"/>
          <w:i/>
          <w:iCs/>
          <w:color w:val="000000"/>
          <w:sz w:val="20"/>
          <w:szCs w:val="20"/>
          <w:bdr w:val="none" w:sz="0" w:space="0" w:color="auto" w:frame="1"/>
          <w:shd w:val="clear" w:color="auto" w:fill="FFFFFF"/>
        </w:rPr>
        <w:t>law allows</w:t>
      </w:r>
      <w:r w:rsidRPr="00F33D6D">
        <w:rPr>
          <w:rFonts w:ascii="inherit" w:hAnsi="inherit" w:cs="Segoe UI"/>
          <w:color w:val="000000"/>
          <w:sz w:val="20"/>
          <w:szCs w:val="20"/>
          <w:bdr w:val="none" w:sz="0" w:space="0" w:color="auto" w:frame="1"/>
          <w:shd w:val="clear" w:color="auto" w:fill="FFFFFF"/>
        </w:rPr>
        <w:t> students to post, the next sentence says </w:t>
      </w:r>
      <w:r w:rsidRPr="00F33D6D">
        <w:rPr>
          <w:rFonts w:ascii="inherit" w:hAnsi="inherit" w:cs="Segoe UI"/>
          <w:i/>
          <w:iCs/>
          <w:color w:val="000000"/>
          <w:sz w:val="20"/>
          <w:szCs w:val="20"/>
          <w:bdr w:val="none" w:sz="0" w:space="0" w:color="auto" w:frame="1"/>
          <w:shd w:val="clear" w:color="auto" w:fill="FFFFFF"/>
        </w:rPr>
        <w:t>GC policy forbids</w:t>
      </w:r>
      <w:r w:rsidRPr="00F33D6D">
        <w:rPr>
          <w:rFonts w:ascii="inherit" w:hAnsi="inherit" w:cs="Segoe UI"/>
          <w:color w:val="000000"/>
          <w:sz w:val="20"/>
          <w:szCs w:val="20"/>
          <w:bdr w:val="none" w:sz="0" w:space="0" w:color="auto" w:frame="1"/>
          <w:shd w:val="clear" w:color="auto" w:fill="FFFFFF"/>
        </w:rPr>
        <w:t> students to post: "The law allows for students to post or link to copyrighted materials within the course environment when the materials are pertinent to course work. In addition, GC Policy expressly forbids the sharing or posting of copyrighted material without the proper consent of the author.</w:t>
      </w:r>
      <w:r>
        <w:rPr>
          <w:rFonts w:ascii="inherit" w:hAnsi="inherit" w:cs="Segoe UI"/>
          <w:color w:val="000000"/>
          <w:sz w:val="20"/>
          <w:szCs w:val="20"/>
          <w:bdr w:val="none" w:sz="0" w:space="0" w:color="auto" w:frame="1"/>
          <w:shd w:val="clear" w:color="auto" w:fill="FFFFFF"/>
        </w:rPr>
        <w:t>" </w:t>
      </w:r>
      <w:r w:rsidRPr="00F33D6D">
        <w:rPr>
          <w:rFonts w:ascii="inherit" w:hAnsi="inherit" w:cs="Segoe UI"/>
          <w:color w:val="000000"/>
          <w:sz w:val="20"/>
          <w:szCs w:val="20"/>
          <w:bdr w:val="none" w:sz="0" w:space="0" w:color="auto" w:frame="1"/>
          <w:shd w:val="clear" w:color="auto" w:fill="FFFFFF"/>
        </w:rPr>
        <w:t>Which should students follow: the law or GC policy?</w:t>
      </w:r>
    </w:p>
    <w:p w14:paraId="2CF04FD9" w14:textId="77777777"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 </w:t>
      </w:r>
    </w:p>
    <w:p w14:paraId="1A33FABF" w14:textId="77777777"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 xml:space="preserve">2) </w:t>
      </w:r>
      <w:r w:rsidRPr="00F33D6D">
        <w:rPr>
          <w:rFonts w:ascii="inherit" w:hAnsi="inherit" w:cs="Segoe UI"/>
          <w:color w:val="000000"/>
          <w:sz w:val="20"/>
          <w:szCs w:val="20"/>
          <w:u w:val="single"/>
          <w:bdr w:val="none" w:sz="0" w:space="0" w:color="auto" w:frame="1"/>
          <w:shd w:val="clear" w:color="auto" w:fill="FFFFFF"/>
        </w:rPr>
        <w:t>Question:</w:t>
      </w:r>
      <w:r w:rsidRPr="00F33D6D">
        <w:rPr>
          <w:rFonts w:ascii="inherit" w:hAnsi="inherit" w:cs="Segoe UI"/>
          <w:color w:val="000000"/>
          <w:sz w:val="20"/>
          <w:szCs w:val="20"/>
          <w:bdr w:val="none" w:sz="0" w:space="0" w:color="auto" w:frame="1"/>
          <w:shd w:val="clear" w:color="auto" w:fill="FFFFFF"/>
        </w:rPr>
        <w:t xml:space="preserve"> This part of the statement, "Failure to comply with this policy may result in restriction or loss of university network access and/or disciplinary action through the Office of Student Affairs" suggests that posting or sharing copyrighted material is a violation of the Student Code of Conduct issue:</w:t>
      </w:r>
    </w:p>
    <w:p w14:paraId="57272CBB" w14:textId="77777777"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hyperlink r:id="rId12" w:tgtFrame="_blank" w:history="1">
        <w:r w:rsidRPr="00F33D6D">
          <w:rPr>
            <w:rStyle w:val="Hyperlink"/>
            <w:rFonts w:ascii="inherit" w:hAnsi="inherit" w:cs="Segoe UI"/>
            <w:sz w:val="20"/>
            <w:szCs w:val="20"/>
            <w:bdr w:val="none" w:sz="0" w:space="0" w:color="auto" w:frame="1"/>
            <w:shd w:val="clear" w:color="auto" w:fill="FFFFFF"/>
          </w:rPr>
          <w:t>http://catalog.gcsu.edu/2019-2020/Undergraduate-Catalog/Academic-Policies/Student-Code-of-Conduct</w:t>
        </w:r>
      </w:hyperlink>
      <w:r w:rsidRPr="00F33D6D">
        <w:rPr>
          <w:rFonts w:ascii="inherit" w:hAnsi="inherit" w:cs="Segoe UI"/>
          <w:color w:val="000000"/>
          <w:sz w:val="20"/>
          <w:szCs w:val="20"/>
          <w:bdr w:val="none" w:sz="0" w:space="0" w:color="auto" w:frame="1"/>
          <w:shd w:val="clear" w:color="auto" w:fill="FFFFFF"/>
        </w:rPr>
        <w:t>.</w:t>
      </w:r>
    </w:p>
    <w:p w14:paraId="14EBD661" w14:textId="77777777"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If the rationale for the required statement is student awareness, why wasn't copyright infringement specifically added to the Student Code of Conduct? </w:t>
      </w:r>
      <w:r w:rsidRPr="00F33D6D">
        <w:rPr>
          <w:rStyle w:val="apple-converted-space"/>
          <w:rFonts w:ascii="inherit" w:hAnsi="inherit" w:cs="Segoe UI"/>
          <w:color w:val="000000"/>
          <w:sz w:val="20"/>
          <w:szCs w:val="20"/>
          <w:bdr w:val="none" w:sz="0" w:space="0" w:color="auto" w:frame="1"/>
          <w:shd w:val="clear" w:color="auto" w:fill="FFFFFF"/>
        </w:rPr>
        <w:t> </w:t>
      </w:r>
      <w:r w:rsidRPr="00F33D6D">
        <w:rPr>
          <w:rFonts w:ascii="inherit" w:hAnsi="inherit" w:cs="Segoe UI"/>
          <w:b/>
          <w:bCs/>
          <w:i/>
          <w:iCs/>
          <w:color w:val="000000"/>
          <w:sz w:val="20"/>
          <w:szCs w:val="20"/>
          <w:bdr w:val="none" w:sz="0" w:space="0" w:color="auto" w:frame="1"/>
          <w:shd w:val="clear" w:color="auto" w:fill="FFFFFF"/>
        </w:rPr>
        <w:t>Could the copyright infringement statement be moved there instead of the syllabus, which should focus on academic and course policies? </w:t>
      </w:r>
      <w:r w:rsidRPr="00F33D6D">
        <w:rPr>
          <w:rStyle w:val="apple-converted-space"/>
          <w:rFonts w:ascii="inherit" w:hAnsi="inherit" w:cs="Segoe UI"/>
          <w:b/>
          <w:bCs/>
          <w:i/>
          <w:iCs/>
          <w:color w:val="000000"/>
          <w:sz w:val="20"/>
          <w:szCs w:val="20"/>
          <w:bdr w:val="none" w:sz="0" w:space="0" w:color="auto" w:frame="1"/>
          <w:shd w:val="clear" w:color="auto" w:fill="FFFFFF"/>
        </w:rPr>
        <w:t> </w:t>
      </w:r>
      <w:r w:rsidRPr="00F33D6D">
        <w:rPr>
          <w:rFonts w:ascii="inherit" w:hAnsi="inherit" w:cs="Segoe UI"/>
          <w:color w:val="000000"/>
          <w:sz w:val="20"/>
          <w:szCs w:val="20"/>
          <w:bdr w:val="none" w:sz="0" w:space="0" w:color="auto" w:frame="1"/>
          <w:shd w:val="clear" w:color="auto" w:fill="FFFFFF"/>
        </w:rPr>
        <w:t>Relatedly, who is supposed to be policing student copyright infringement: Faculty, Student Life, the University Library?</w:t>
      </w:r>
    </w:p>
    <w:p w14:paraId="368C15EA" w14:textId="77777777"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 </w:t>
      </w:r>
    </w:p>
    <w:p w14:paraId="37318135" w14:textId="77777777"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 xml:space="preserve">3) </w:t>
      </w:r>
      <w:r w:rsidRPr="00F33D6D">
        <w:rPr>
          <w:rFonts w:ascii="inherit" w:hAnsi="inherit" w:cs="Segoe UI"/>
          <w:color w:val="000000"/>
          <w:sz w:val="20"/>
          <w:szCs w:val="20"/>
          <w:u w:val="single"/>
          <w:bdr w:val="none" w:sz="0" w:space="0" w:color="auto" w:frame="1"/>
          <w:shd w:val="clear" w:color="auto" w:fill="FFFFFF"/>
        </w:rPr>
        <w:t>Comment</w:t>
      </w:r>
      <w:r w:rsidRPr="00F33D6D">
        <w:rPr>
          <w:rFonts w:ascii="inherit" w:hAnsi="inherit" w:cs="Segoe UI"/>
          <w:color w:val="000000"/>
          <w:sz w:val="20"/>
          <w:szCs w:val="20"/>
          <w:bdr w:val="none" w:sz="0" w:space="0" w:color="auto" w:frame="1"/>
          <w:shd w:val="clear" w:color="auto" w:fill="FFFFFF"/>
        </w:rPr>
        <w:t>: The statement concludes, "For questions involving copyright issues, please consult the GC Office of Legal Affairs."  Copyright policy is a legal issue for faculty to consider when putting together course materials but it's not a student academic issue like plagiarism, attendance, or disability accommodations, and</w:t>
      </w:r>
      <w:r w:rsidRPr="00F33D6D">
        <w:rPr>
          <w:rStyle w:val="apple-converted-space"/>
          <w:rFonts w:ascii="inherit" w:hAnsi="inherit" w:cs="Segoe UI"/>
          <w:color w:val="000000"/>
          <w:sz w:val="20"/>
          <w:szCs w:val="20"/>
          <w:bdr w:val="none" w:sz="0" w:space="0" w:color="auto" w:frame="1"/>
          <w:shd w:val="clear" w:color="auto" w:fill="FFFFFF"/>
        </w:rPr>
        <w:t> </w:t>
      </w:r>
      <w:r w:rsidRPr="00F33D6D">
        <w:rPr>
          <w:rFonts w:ascii="inherit" w:hAnsi="inherit" w:cs="Segoe UI"/>
          <w:b/>
          <w:bCs/>
          <w:i/>
          <w:iCs/>
          <w:color w:val="000000"/>
          <w:sz w:val="20"/>
          <w:szCs w:val="20"/>
          <w:bdr w:val="none" w:sz="0" w:space="0" w:color="auto" w:frame="1"/>
          <w:shd w:val="clear" w:color="auto" w:fill="FFFFFF"/>
        </w:rPr>
        <w:t>therefore should not be put on syllabi</w:t>
      </w:r>
      <w:r w:rsidRPr="00F33D6D">
        <w:rPr>
          <w:rFonts w:ascii="inherit" w:hAnsi="inherit" w:cs="Segoe UI"/>
          <w:color w:val="000000"/>
          <w:sz w:val="20"/>
          <w:szCs w:val="20"/>
          <w:bdr w:val="none" w:sz="0" w:space="0" w:color="auto" w:frame="1"/>
          <w:shd w:val="clear" w:color="auto" w:fill="FFFFFF"/>
        </w:rPr>
        <w:t>.</w:t>
      </w:r>
    </w:p>
    <w:p w14:paraId="0136A7DF" w14:textId="77777777" w:rsidR="00F33D6D"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 </w:t>
      </w:r>
    </w:p>
    <w:p w14:paraId="03875526" w14:textId="6D93FE81" w:rsidR="00932F55" w:rsidRPr="00F33D6D" w:rsidRDefault="00F33D6D" w:rsidP="00F33D6D">
      <w:pPr>
        <w:pStyle w:val="NormalWeb"/>
        <w:spacing w:before="0" w:beforeAutospacing="0" w:after="0" w:afterAutospacing="0"/>
        <w:textAlignment w:val="baseline"/>
        <w:rPr>
          <w:rFonts w:ascii="Segoe UI" w:hAnsi="Segoe UI" w:cs="Segoe UI"/>
          <w:color w:val="201F1E"/>
          <w:sz w:val="20"/>
          <w:szCs w:val="20"/>
        </w:rPr>
      </w:pPr>
      <w:r w:rsidRPr="00F33D6D">
        <w:rPr>
          <w:rFonts w:ascii="inherit" w:hAnsi="inherit" w:cs="Segoe UI"/>
          <w:color w:val="000000"/>
          <w:sz w:val="20"/>
          <w:szCs w:val="20"/>
          <w:bdr w:val="none" w:sz="0" w:space="0" w:color="auto" w:frame="1"/>
          <w:shd w:val="clear" w:color="auto" w:fill="FFFFFF"/>
        </w:rPr>
        <w:t>4)</w:t>
      </w:r>
      <w:r w:rsidRPr="00F33D6D">
        <w:rPr>
          <w:rStyle w:val="apple-converted-space"/>
          <w:rFonts w:ascii="inherit" w:hAnsi="inherit" w:cs="Segoe UI"/>
          <w:color w:val="000000"/>
          <w:sz w:val="20"/>
          <w:szCs w:val="20"/>
          <w:bdr w:val="none" w:sz="0" w:space="0" w:color="auto" w:frame="1"/>
          <w:shd w:val="clear" w:color="auto" w:fill="FFFFFF"/>
        </w:rPr>
        <w:t> </w:t>
      </w:r>
      <w:r w:rsidRPr="00F33D6D">
        <w:rPr>
          <w:rFonts w:ascii="inherit" w:hAnsi="inherit" w:cs="Segoe UI"/>
          <w:color w:val="201F1E"/>
          <w:sz w:val="20"/>
          <w:szCs w:val="20"/>
          <w:u w:val="single"/>
          <w:bdr w:val="none" w:sz="0" w:space="0" w:color="auto" w:frame="1"/>
          <w:shd w:val="clear" w:color="auto" w:fill="FFFFFF"/>
        </w:rPr>
        <w:t>Comment</w:t>
      </w:r>
      <w:r w:rsidRPr="00F33D6D">
        <w:rPr>
          <w:rFonts w:ascii="inherit" w:hAnsi="inherit" w:cs="Segoe UI"/>
          <w:color w:val="201F1E"/>
          <w:sz w:val="20"/>
          <w:szCs w:val="20"/>
          <w:bdr w:val="none" w:sz="0" w:space="0" w:color="auto" w:frame="1"/>
          <w:shd w:val="clear" w:color="auto" w:fill="FFFFFF"/>
        </w:rPr>
        <w:t>: We should always ask ourselves when adding to the</w:t>
      </w:r>
      <w:r>
        <w:rPr>
          <w:rFonts w:ascii="inherit" w:hAnsi="inherit" w:cs="Segoe UI"/>
          <w:color w:val="201F1E"/>
          <w:sz w:val="20"/>
          <w:szCs w:val="20"/>
          <w:bdr w:val="none" w:sz="0" w:space="0" w:color="auto" w:frame="1"/>
          <w:shd w:val="clear" w:color="auto" w:fill="FFFFFF"/>
        </w:rPr>
        <w:t xml:space="preserve"> required syllabus statement, “W</w:t>
      </w:r>
      <w:r w:rsidRPr="00F33D6D">
        <w:rPr>
          <w:rFonts w:ascii="inherit" w:hAnsi="inherit" w:cs="Segoe UI"/>
          <w:color w:val="201F1E"/>
          <w:sz w:val="20"/>
          <w:szCs w:val="20"/>
          <w:bdr w:val="none" w:sz="0" w:space="0" w:color="auto" w:frame="1"/>
          <w:shd w:val="clear" w:color="auto" w:fill="FFFFFF"/>
        </w:rPr>
        <w:t>he</w:t>
      </w:r>
      <w:r>
        <w:rPr>
          <w:rFonts w:ascii="inherit" w:hAnsi="inherit" w:cs="Segoe UI"/>
          <w:color w:val="201F1E"/>
          <w:sz w:val="20"/>
          <w:szCs w:val="20"/>
          <w:bdr w:val="none" w:sz="0" w:space="0" w:color="auto" w:frame="1"/>
          <w:shd w:val="clear" w:color="auto" w:fill="FFFFFF"/>
        </w:rPr>
        <w:t>n have we put too much there?” </w:t>
      </w:r>
      <w:r w:rsidRPr="00F33D6D">
        <w:rPr>
          <w:rFonts w:ascii="inherit" w:hAnsi="inherit" w:cs="Segoe UI"/>
          <w:color w:val="201F1E"/>
          <w:sz w:val="20"/>
          <w:szCs w:val="20"/>
          <w:bdr w:val="none" w:sz="0" w:space="0" w:color="auto" w:frame="1"/>
          <w:shd w:val="clear" w:color="auto" w:fill="FFFFFF"/>
        </w:rPr>
        <w:t>The more that is required, the less importan</w:t>
      </w:r>
      <w:r>
        <w:rPr>
          <w:rFonts w:ascii="inherit" w:hAnsi="inherit" w:cs="Segoe UI"/>
          <w:color w:val="201F1E"/>
          <w:sz w:val="20"/>
          <w:szCs w:val="20"/>
          <w:bdr w:val="none" w:sz="0" w:space="0" w:color="auto" w:frame="1"/>
          <w:shd w:val="clear" w:color="auto" w:fill="FFFFFF"/>
        </w:rPr>
        <w:t>t each item will appear to be. </w:t>
      </w:r>
      <w:r w:rsidRPr="00F33D6D">
        <w:rPr>
          <w:rFonts w:ascii="inherit" w:hAnsi="inherit" w:cs="Segoe UI"/>
          <w:color w:val="201F1E"/>
          <w:sz w:val="20"/>
          <w:szCs w:val="20"/>
          <w:bdr w:val="none" w:sz="0" w:space="0" w:color="auto" w:frame="1"/>
          <w:shd w:val="clear" w:color="auto" w:fill="FFFFFF"/>
        </w:rPr>
        <w:t>Our syllabus statement has become so long, that we now just put a link to the statement, and not including its entirety in the syllabus. We may want to reconsider how we communicate these important items.</w:t>
      </w:r>
    </w:p>
    <w:p w14:paraId="1C5368B4" w14:textId="77777777" w:rsidR="00865BBB" w:rsidRPr="00E362A9" w:rsidRDefault="00865BBB" w:rsidP="00865BBB">
      <w:r w:rsidRPr="00E362A9">
        <w:rPr>
          <w:b/>
          <w:bCs/>
        </w:rPr>
        <w:t> </w:t>
      </w:r>
    </w:p>
    <w:p w14:paraId="46E48593" w14:textId="77777777" w:rsidR="00865BBB" w:rsidRDefault="00865BBB" w:rsidP="00865BBB">
      <w:pPr>
        <w:rPr>
          <w:b/>
          <w:bCs/>
        </w:rPr>
      </w:pPr>
      <w:r w:rsidRPr="00F33D6D">
        <w:rPr>
          <w:b/>
          <w:bCs/>
        </w:rPr>
        <w:t>Recommend items for consideration at the governance retreat:</w:t>
      </w:r>
    </w:p>
    <w:p w14:paraId="096F9A76" w14:textId="198545BC" w:rsidR="00E950F9" w:rsidRPr="00E950F9" w:rsidRDefault="00E950F9" w:rsidP="00865BBB">
      <w:pPr>
        <w:rPr>
          <w:sz w:val="20"/>
          <w:szCs w:val="20"/>
          <w:u w:val="single"/>
        </w:rPr>
      </w:pPr>
      <w:r w:rsidRPr="00E950F9">
        <w:rPr>
          <w:sz w:val="20"/>
          <w:szCs w:val="20"/>
          <w:u w:val="single"/>
        </w:rPr>
        <w:t>Questions:</w:t>
      </w:r>
    </w:p>
    <w:p w14:paraId="6DAC62F5" w14:textId="6DA99396" w:rsidR="00E96AE6" w:rsidRDefault="00F33D6D" w:rsidP="00865BBB">
      <w:pPr>
        <w:rPr>
          <w:sz w:val="20"/>
          <w:szCs w:val="20"/>
        </w:rPr>
      </w:pPr>
      <w:r w:rsidRPr="00F33D6D">
        <w:rPr>
          <w:sz w:val="20"/>
          <w:szCs w:val="20"/>
        </w:rPr>
        <w:t>Copyright Policy to the Required Syllabus Statements</w:t>
      </w:r>
      <w:r w:rsidR="00E950F9">
        <w:rPr>
          <w:sz w:val="20"/>
          <w:szCs w:val="20"/>
        </w:rPr>
        <w:t>. Does APC continue to pursue this?</w:t>
      </w:r>
    </w:p>
    <w:p w14:paraId="2EEB541D" w14:textId="3142D8E6" w:rsidR="00E950F9" w:rsidRPr="00F33D6D" w:rsidRDefault="00E950F9" w:rsidP="00865BBB">
      <w:pPr>
        <w:rPr>
          <w:sz w:val="20"/>
          <w:szCs w:val="20"/>
        </w:rPr>
      </w:pPr>
      <w:r>
        <w:rPr>
          <w:sz w:val="20"/>
          <w:szCs w:val="20"/>
        </w:rPr>
        <w:t>What are some of the academic policy-related effects of COVID-19?</w:t>
      </w:r>
    </w:p>
    <w:p w14:paraId="47E53D7B" w14:textId="5EAA4569" w:rsidR="00865BBB" w:rsidRPr="00E362A9" w:rsidRDefault="00865BBB" w:rsidP="00865BBB"/>
    <w:p w14:paraId="407472CC" w14:textId="5B385462" w:rsidR="00F22337" w:rsidRPr="00E96AE6" w:rsidRDefault="00F22337" w:rsidP="00F22337">
      <w:pPr>
        <w:rPr>
          <w:b/>
        </w:rPr>
      </w:pPr>
      <w:r w:rsidRPr="00E362A9">
        <w:rPr>
          <w:b/>
          <w:bCs/>
        </w:rPr>
        <w:t xml:space="preserve">Appendix: </w:t>
      </w:r>
      <w:r w:rsidR="00E96AE6" w:rsidRPr="00DD28C2">
        <w:rPr>
          <w:b/>
        </w:rPr>
        <w:t>Academic Policy Committee Operating Procedures 2019-20</w:t>
      </w:r>
    </w:p>
    <w:p w14:paraId="0CB8A53B" w14:textId="7C91A79A" w:rsidR="00B74BA1" w:rsidRPr="00333B9B" w:rsidRDefault="00DD28C2" w:rsidP="00865BBB">
      <w:pPr>
        <w:rPr>
          <w:i/>
          <w:iCs/>
          <w:sz w:val="20"/>
          <w:szCs w:val="20"/>
        </w:rPr>
      </w:pPr>
      <w:r w:rsidRPr="00333B9B">
        <w:rPr>
          <w:i/>
          <w:iCs/>
          <w:sz w:val="20"/>
          <w:szCs w:val="20"/>
        </w:rPr>
        <w:t>At the 2019 Governance Retreat, APC elected to retain the operating procedures from the previous year. The APC chair found the 2017-2018 APC Operating Procedures on the senate website. She updated the procedures to reflect the current academic year, and sent them electronically to the committee</w:t>
      </w:r>
      <w:r w:rsidR="00AB4AD4" w:rsidRPr="00333B9B">
        <w:rPr>
          <w:i/>
          <w:iCs/>
          <w:sz w:val="20"/>
          <w:szCs w:val="20"/>
        </w:rPr>
        <w:t xml:space="preserve"> on August 20</w:t>
      </w:r>
      <w:r w:rsidR="00AB4AD4" w:rsidRPr="00333B9B">
        <w:rPr>
          <w:i/>
          <w:iCs/>
          <w:sz w:val="20"/>
          <w:szCs w:val="20"/>
          <w:vertAlign w:val="superscript"/>
        </w:rPr>
        <w:t>th</w:t>
      </w:r>
      <w:r w:rsidR="00AB4AD4" w:rsidRPr="00333B9B">
        <w:rPr>
          <w:i/>
          <w:iCs/>
          <w:sz w:val="20"/>
          <w:szCs w:val="20"/>
        </w:rPr>
        <w:t>.</w:t>
      </w:r>
      <w:r w:rsidRPr="00333B9B">
        <w:rPr>
          <w:i/>
          <w:iCs/>
          <w:sz w:val="20"/>
          <w:szCs w:val="20"/>
        </w:rPr>
        <w:t xml:space="preserve"> The APC operating procedures</w:t>
      </w:r>
      <w:r w:rsidR="00AB4AD4" w:rsidRPr="00333B9B">
        <w:rPr>
          <w:i/>
          <w:iCs/>
          <w:sz w:val="20"/>
          <w:szCs w:val="20"/>
        </w:rPr>
        <w:t xml:space="preserve"> were unanimously approved</w:t>
      </w:r>
      <w:r w:rsidRPr="00333B9B">
        <w:rPr>
          <w:i/>
          <w:iCs/>
          <w:sz w:val="20"/>
          <w:szCs w:val="20"/>
        </w:rPr>
        <w:t xml:space="preserve"> for the 2019-2020 academic year. </w:t>
      </w:r>
    </w:p>
    <w:p w14:paraId="181C5F30" w14:textId="77777777" w:rsidR="00E96AE6" w:rsidRPr="00333B9B" w:rsidRDefault="00E96AE6" w:rsidP="00DD28C2">
      <w:pPr>
        <w:rPr>
          <w:sz w:val="20"/>
          <w:szCs w:val="20"/>
        </w:rPr>
      </w:pPr>
    </w:p>
    <w:p w14:paraId="4A3B7D70" w14:textId="2823DCBD" w:rsidR="00DD28C2" w:rsidRPr="00333B9B" w:rsidRDefault="00DD28C2" w:rsidP="00DD28C2">
      <w:pPr>
        <w:rPr>
          <w:sz w:val="20"/>
          <w:szCs w:val="20"/>
        </w:rPr>
      </w:pPr>
      <w:r w:rsidRPr="00333B9B">
        <w:rPr>
          <w:sz w:val="20"/>
          <w:szCs w:val="20"/>
        </w:rPr>
        <w:t>In terms of Standard Operating Procedures (SOP), the committee agreed to keep meetings rather informal, except for votes on policies.  APC is composed of 15 members, so there will need to be 8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w:t>
      </w:r>
      <w:r w:rsidR="00E96AE6" w:rsidRPr="00333B9B">
        <w:rPr>
          <w:sz w:val="20"/>
          <w:szCs w:val="20"/>
        </w:rPr>
        <w:t>lated to committee discussions.</w:t>
      </w:r>
    </w:p>
    <w:p w14:paraId="6ABB33C7" w14:textId="77777777" w:rsidR="00DD28C2" w:rsidRPr="00333B9B" w:rsidRDefault="00DD28C2" w:rsidP="00DD28C2">
      <w:pPr>
        <w:rPr>
          <w:sz w:val="20"/>
          <w:szCs w:val="20"/>
        </w:rPr>
      </w:pPr>
    </w:p>
    <w:p w14:paraId="726640CF" w14:textId="0D9560EC" w:rsidR="00F22337" w:rsidRPr="00333B9B" w:rsidRDefault="00DD28C2" w:rsidP="00AB4AD4">
      <w:pPr>
        <w:rPr>
          <w:sz w:val="20"/>
          <w:szCs w:val="20"/>
        </w:rPr>
      </w:pPr>
      <w:r w:rsidRPr="00333B9B">
        <w:rPr>
          <w:sz w:val="20"/>
          <w:szCs w:val="20"/>
        </w:rPr>
        <w:lastRenderedPageBreak/>
        <w:t>We also acknowledged that University Senate Operating Procedures permit for electronic discussion of items if achieving and maintaining a quorum becomes difficult.</w:t>
      </w:r>
      <w:bookmarkStart w:id="0" w:name="_GoBack"/>
      <w:bookmarkEnd w:id="0"/>
    </w:p>
    <w:sectPr w:rsidR="00F22337" w:rsidRPr="00333B9B" w:rsidSect="005844EC">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1B616" w14:textId="77777777" w:rsidR="00A667CE" w:rsidRDefault="00A667CE" w:rsidP="005844EC">
      <w:r>
        <w:separator/>
      </w:r>
    </w:p>
  </w:endnote>
  <w:endnote w:type="continuationSeparator" w:id="0">
    <w:p w14:paraId="33EA3B6C" w14:textId="77777777" w:rsidR="00A667CE" w:rsidRDefault="00A667CE"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T Sans">
    <w:panose1 w:val="020B0503020203020204"/>
    <w:charset w:val="CC"/>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726A" w14:textId="50DC89A8" w:rsidR="008F0AEF" w:rsidRPr="005844EC" w:rsidRDefault="008F0AEF" w:rsidP="005844EC">
    <w:pPr>
      <w:pStyle w:val="Footer"/>
      <w:tabs>
        <w:tab w:val="clear" w:pos="8640"/>
        <w:tab w:val="right" w:pos="9900"/>
      </w:tabs>
      <w:rPr>
        <w:sz w:val="16"/>
        <w:szCs w:val="16"/>
      </w:rPr>
    </w:pPr>
    <w:r w:rsidRPr="00F03C55">
      <w:rPr>
        <w:rStyle w:val="PageNumber"/>
        <w:sz w:val="16"/>
        <w:szCs w:val="16"/>
      </w:rPr>
      <w:t>(</w:t>
    </w:r>
    <w:r w:rsidR="00F03C55" w:rsidRPr="00F03C55">
      <w:rPr>
        <w:rStyle w:val="PageNumber"/>
        <w:sz w:val="16"/>
        <w:szCs w:val="16"/>
      </w:rPr>
      <w:t>APC</w:t>
    </w:r>
    <w:r w:rsidRPr="00F03C55">
      <w:rPr>
        <w:rStyle w:val="PageNumber"/>
        <w:sz w:val="16"/>
        <w:szCs w:val="16"/>
      </w:rPr>
      <w:t xml:space="preserve"> Annual Report Academic Year 2019-20</w:t>
    </w:r>
    <w:r w:rsidRPr="005844EC">
      <w:rPr>
        <w:rStyle w:val="PageNumber"/>
        <w:sz w:val="16"/>
        <w:szCs w:val="16"/>
      </w:rPr>
      <w:tab/>
    </w:r>
    <w:r w:rsidRPr="005844EC">
      <w:rPr>
        <w:sz w:val="16"/>
        <w:szCs w:val="16"/>
      </w:rPr>
      <w:tab/>
    </w:r>
    <w:r w:rsidRPr="00F03C55">
      <w:rPr>
        <w:sz w:val="16"/>
        <w:szCs w:val="16"/>
      </w:rPr>
      <w:t xml:space="preserve">Page </w:t>
    </w:r>
    <w:r w:rsidRPr="00F03C55">
      <w:rPr>
        <w:sz w:val="16"/>
        <w:szCs w:val="16"/>
      </w:rPr>
      <w:fldChar w:fldCharType="begin"/>
    </w:r>
    <w:r w:rsidRPr="00F03C55">
      <w:rPr>
        <w:sz w:val="16"/>
        <w:szCs w:val="16"/>
      </w:rPr>
      <w:instrText xml:space="preserve"> PAGE  \* Arabic  \* MERGEFORMAT </w:instrText>
    </w:r>
    <w:r w:rsidRPr="00F03C55">
      <w:rPr>
        <w:sz w:val="16"/>
        <w:szCs w:val="16"/>
      </w:rPr>
      <w:fldChar w:fldCharType="separate"/>
    </w:r>
    <w:r w:rsidR="00B97A3A">
      <w:rPr>
        <w:noProof/>
        <w:sz w:val="16"/>
        <w:szCs w:val="16"/>
      </w:rPr>
      <w:t>5</w:t>
    </w:r>
    <w:r w:rsidRPr="00F03C55">
      <w:rPr>
        <w:sz w:val="16"/>
        <w:szCs w:val="16"/>
      </w:rPr>
      <w:fldChar w:fldCharType="end"/>
    </w:r>
    <w:r w:rsidRPr="00F03C55">
      <w:rPr>
        <w:sz w:val="16"/>
        <w:szCs w:val="16"/>
      </w:rPr>
      <w:t xml:space="preserve"> of </w:t>
    </w:r>
    <w:r w:rsidRPr="00F03C55">
      <w:rPr>
        <w:sz w:val="16"/>
        <w:szCs w:val="16"/>
      </w:rPr>
      <w:fldChar w:fldCharType="begin"/>
    </w:r>
    <w:r w:rsidRPr="00F03C55">
      <w:rPr>
        <w:sz w:val="16"/>
        <w:szCs w:val="16"/>
      </w:rPr>
      <w:instrText xml:space="preserve"> NUMPAGES  \* Arabic  \* MERGEFORMAT </w:instrText>
    </w:r>
    <w:r w:rsidRPr="00F03C55">
      <w:rPr>
        <w:sz w:val="16"/>
        <w:szCs w:val="16"/>
      </w:rPr>
      <w:fldChar w:fldCharType="separate"/>
    </w:r>
    <w:r w:rsidR="00B97A3A">
      <w:rPr>
        <w:noProof/>
        <w:sz w:val="16"/>
        <w:szCs w:val="16"/>
      </w:rPr>
      <w:t>6</w:t>
    </w:r>
    <w:r w:rsidRPr="00F03C55">
      <w:rPr>
        <w:sz w:val="16"/>
        <w:szCs w:val="16"/>
      </w:rPr>
      <w:fldChar w:fldCharType="end"/>
    </w:r>
  </w:p>
  <w:p w14:paraId="6A233841" w14:textId="77777777" w:rsidR="008F0AEF" w:rsidRDefault="008F0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F140" w14:textId="77777777" w:rsidR="00A667CE" w:rsidRDefault="00A667CE" w:rsidP="005844EC">
      <w:r>
        <w:separator/>
      </w:r>
    </w:p>
  </w:footnote>
  <w:footnote w:type="continuationSeparator" w:id="0">
    <w:p w14:paraId="403E69C9" w14:textId="77777777" w:rsidR="00A667CE" w:rsidRDefault="00A667CE" w:rsidP="005844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13713"/>
    <w:multiLevelType w:val="multilevel"/>
    <w:tmpl w:val="28D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B13B1"/>
    <w:multiLevelType w:val="hybridMultilevel"/>
    <w:tmpl w:val="8190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D1AEB"/>
    <w:multiLevelType w:val="hybridMultilevel"/>
    <w:tmpl w:val="9EE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7216B"/>
    <w:multiLevelType w:val="hybridMultilevel"/>
    <w:tmpl w:val="58A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53D60"/>
    <w:multiLevelType w:val="hybridMultilevel"/>
    <w:tmpl w:val="D1122D2E"/>
    <w:lvl w:ilvl="0" w:tplc="03A07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04269"/>
    <w:rsid w:val="00014872"/>
    <w:rsid w:val="0002360B"/>
    <w:rsid w:val="0003495F"/>
    <w:rsid w:val="0004576F"/>
    <w:rsid w:val="00045F8D"/>
    <w:rsid w:val="00062931"/>
    <w:rsid w:val="0006353D"/>
    <w:rsid w:val="000762FB"/>
    <w:rsid w:val="00086046"/>
    <w:rsid w:val="000A738A"/>
    <w:rsid w:val="000D5F2D"/>
    <w:rsid w:val="000E29A5"/>
    <w:rsid w:val="001019E1"/>
    <w:rsid w:val="001025BA"/>
    <w:rsid w:val="00112766"/>
    <w:rsid w:val="00125F69"/>
    <w:rsid w:val="00171C85"/>
    <w:rsid w:val="001A1FB0"/>
    <w:rsid w:val="001D17C8"/>
    <w:rsid w:val="001D2AB2"/>
    <w:rsid w:val="00200392"/>
    <w:rsid w:val="00210259"/>
    <w:rsid w:val="00243D6E"/>
    <w:rsid w:val="00247CA3"/>
    <w:rsid w:val="0026516D"/>
    <w:rsid w:val="002F18DC"/>
    <w:rsid w:val="002F4D31"/>
    <w:rsid w:val="00316614"/>
    <w:rsid w:val="00323799"/>
    <w:rsid w:val="00333B9B"/>
    <w:rsid w:val="00391AEC"/>
    <w:rsid w:val="003B08B7"/>
    <w:rsid w:val="003B54C7"/>
    <w:rsid w:val="00400D1A"/>
    <w:rsid w:val="004163EB"/>
    <w:rsid w:val="00417A85"/>
    <w:rsid w:val="00445DDC"/>
    <w:rsid w:val="00474C6D"/>
    <w:rsid w:val="004B7513"/>
    <w:rsid w:val="004F7A83"/>
    <w:rsid w:val="00520DBC"/>
    <w:rsid w:val="005844EC"/>
    <w:rsid w:val="0061734A"/>
    <w:rsid w:val="006426A9"/>
    <w:rsid w:val="00662397"/>
    <w:rsid w:val="00663DDF"/>
    <w:rsid w:val="006A2A1B"/>
    <w:rsid w:val="006A5698"/>
    <w:rsid w:val="006A67ED"/>
    <w:rsid w:val="006B68AB"/>
    <w:rsid w:val="0071470B"/>
    <w:rsid w:val="00730906"/>
    <w:rsid w:val="007678DE"/>
    <w:rsid w:val="0078182A"/>
    <w:rsid w:val="00794830"/>
    <w:rsid w:val="007A1BE3"/>
    <w:rsid w:val="00800A29"/>
    <w:rsid w:val="00805A5C"/>
    <w:rsid w:val="00812246"/>
    <w:rsid w:val="00831798"/>
    <w:rsid w:val="00865BBB"/>
    <w:rsid w:val="00892390"/>
    <w:rsid w:val="008B58ED"/>
    <w:rsid w:val="008E5139"/>
    <w:rsid w:val="008F0AEF"/>
    <w:rsid w:val="00927C13"/>
    <w:rsid w:val="00932F55"/>
    <w:rsid w:val="00994005"/>
    <w:rsid w:val="009F483D"/>
    <w:rsid w:val="009F6587"/>
    <w:rsid w:val="00A00EAF"/>
    <w:rsid w:val="00A55E3F"/>
    <w:rsid w:val="00A576FB"/>
    <w:rsid w:val="00A6212C"/>
    <w:rsid w:val="00A667CE"/>
    <w:rsid w:val="00AB4AD4"/>
    <w:rsid w:val="00AB4BF5"/>
    <w:rsid w:val="00AE190B"/>
    <w:rsid w:val="00AE7329"/>
    <w:rsid w:val="00B016CA"/>
    <w:rsid w:val="00B0465B"/>
    <w:rsid w:val="00B229F6"/>
    <w:rsid w:val="00B74BA1"/>
    <w:rsid w:val="00B97A3A"/>
    <w:rsid w:val="00BA5EAF"/>
    <w:rsid w:val="00BB0B47"/>
    <w:rsid w:val="00BB3740"/>
    <w:rsid w:val="00BB7094"/>
    <w:rsid w:val="00BC2A7C"/>
    <w:rsid w:val="00C72903"/>
    <w:rsid w:val="00C73281"/>
    <w:rsid w:val="00C8337A"/>
    <w:rsid w:val="00CA1170"/>
    <w:rsid w:val="00CF7DCD"/>
    <w:rsid w:val="00D201AF"/>
    <w:rsid w:val="00D455A2"/>
    <w:rsid w:val="00D67B4A"/>
    <w:rsid w:val="00D90F59"/>
    <w:rsid w:val="00DD28C2"/>
    <w:rsid w:val="00DE72EA"/>
    <w:rsid w:val="00E362A9"/>
    <w:rsid w:val="00E70A14"/>
    <w:rsid w:val="00E740E7"/>
    <w:rsid w:val="00E85F63"/>
    <w:rsid w:val="00E950F9"/>
    <w:rsid w:val="00E96AE6"/>
    <w:rsid w:val="00EB23EA"/>
    <w:rsid w:val="00F03C55"/>
    <w:rsid w:val="00F22337"/>
    <w:rsid w:val="00F33D6D"/>
    <w:rsid w:val="00F51C54"/>
    <w:rsid w:val="00F56A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805A5C"/>
    <w:rPr>
      <w:b/>
      <w:bCs/>
    </w:rPr>
  </w:style>
  <w:style w:type="character" w:styleId="Emphasis">
    <w:name w:val="Emphasis"/>
    <w:basedOn w:val="DefaultParagraphFont"/>
    <w:uiPriority w:val="20"/>
    <w:qFormat/>
    <w:rsid w:val="00805A5C"/>
    <w:rPr>
      <w:i/>
      <w:iCs/>
    </w:rPr>
  </w:style>
  <w:style w:type="table" w:styleId="TableGrid">
    <w:name w:val="Table Grid"/>
    <w:basedOn w:val="TableNormal"/>
    <w:rsid w:val="00520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259"/>
    <w:pPr>
      <w:ind w:left="720"/>
      <w:contextualSpacing/>
    </w:pPr>
  </w:style>
  <w:style w:type="paragraph" w:styleId="NormalWeb">
    <w:name w:val="Normal (Web)"/>
    <w:basedOn w:val="Normal"/>
    <w:uiPriority w:val="99"/>
    <w:unhideWhenUsed/>
    <w:rsid w:val="00247CA3"/>
    <w:pPr>
      <w:spacing w:before="100" w:beforeAutospacing="1" w:after="100" w:afterAutospacing="1"/>
    </w:pPr>
  </w:style>
  <w:style w:type="character" w:customStyle="1" w:styleId="apple-converted-space">
    <w:name w:val="apple-converted-space"/>
    <w:basedOn w:val="DefaultParagraphFont"/>
    <w:rsid w:val="00F3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920138449">
      <w:bodyDiv w:val="1"/>
      <w:marLeft w:val="0"/>
      <w:marRight w:val="0"/>
      <w:marTop w:val="0"/>
      <w:marBottom w:val="0"/>
      <w:divBdr>
        <w:top w:val="none" w:sz="0" w:space="0" w:color="auto"/>
        <w:left w:val="none" w:sz="0" w:space="0" w:color="auto"/>
        <w:bottom w:val="none" w:sz="0" w:space="0" w:color="auto"/>
        <w:right w:val="none" w:sz="0" w:space="0" w:color="auto"/>
      </w:divBdr>
      <w:divsChild>
        <w:div w:id="1698046696">
          <w:marLeft w:val="0"/>
          <w:marRight w:val="0"/>
          <w:marTop w:val="0"/>
          <w:marBottom w:val="0"/>
          <w:divBdr>
            <w:top w:val="none" w:sz="0" w:space="0" w:color="auto"/>
            <w:left w:val="none" w:sz="0" w:space="0" w:color="auto"/>
            <w:bottom w:val="none" w:sz="0" w:space="0" w:color="auto"/>
            <w:right w:val="none" w:sz="0" w:space="0" w:color="auto"/>
          </w:divBdr>
        </w:div>
      </w:divsChild>
    </w:div>
    <w:div w:id="1311054669">
      <w:bodyDiv w:val="1"/>
      <w:marLeft w:val="0"/>
      <w:marRight w:val="0"/>
      <w:marTop w:val="0"/>
      <w:marBottom w:val="0"/>
      <w:divBdr>
        <w:top w:val="none" w:sz="0" w:space="0" w:color="auto"/>
        <w:left w:val="none" w:sz="0" w:space="0" w:color="auto"/>
        <w:bottom w:val="none" w:sz="0" w:space="0" w:color="auto"/>
        <w:right w:val="none" w:sz="0" w:space="0" w:color="auto"/>
      </w:divBdr>
    </w:div>
    <w:div w:id="1687516754">
      <w:bodyDiv w:val="1"/>
      <w:marLeft w:val="0"/>
      <w:marRight w:val="0"/>
      <w:marTop w:val="0"/>
      <w:marBottom w:val="0"/>
      <w:divBdr>
        <w:top w:val="none" w:sz="0" w:space="0" w:color="auto"/>
        <w:left w:val="none" w:sz="0" w:space="0" w:color="auto"/>
        <w:bottom w:val="none" w:sz="0" w:space="0" w:color="auto"/>
        <w:right w:val="none" w:sz="0" w:space="0" w:color="auto"/>
      </w:divBdr>
      <w:divsChild>
        <w:div w:id="1314531126">
          <w:marLeft w:val="0"/>
          <w:marRight w:val="0"/>
          <w:marTop w:val="0"/>
          <w:marBottom w:val="0"/>
          <w:divBdr>
            <w:top w:val="none" w:sz="0" w:space="0" w:color="auto"/>
            <w:left w:val="none" w:sz="0" w:space="0" w:color="auto"/>
            <w:bottom w:val="none" w:sz="0" w:space="0" w:color="auto"/>
            <w:right w:val="none" w:sz="0" w:space="0" w:color="auto"/>
          </w:divBdr>
        </w:div>
        <w:div w:id="172289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sg.edu/copyright/fair_use_checklist" TargetMode="External"/><Relationship Id="rId12" Type="http://schemas.openxmlformats.org/officeDocument/2006/relationships/hyperlink" Target="https://nam03.safelinks.protection.outlook.com/?url=http%3A%2F%2Fcatalog.gcsu.edu%2F2019-2020%2FUndergraduate-Catalog%2FAcademic-Policies%2FStudent-Code-of-Conduct&amp;data=02%7C01%7Cnicole.declouette%40gcsu.edu%7Cc987d6fb51214156412a08d7e79e31ec%7Cbfd29cfa8e7142e69abc953a6d6f07d6%7C0%7C0%7C637232538949071682&amp;sdata=j9RuQgmTmJ7QvKQaB%2BadcPB8Cdoj96OvZUY4%2BKLme9k%3D&amp;reserved=0"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nate@gcsu.edu" TargetMode="External"/><Relationship Id="rId9" Type="http://schemas.openxmlformats.org/officeDocument/2006/relationships/hyperlink" Target="https://nam03.safelinks.protection.outlook.com/?url=https%3A%2F%2Fwww.usg.edu%2Fcopyright&amp;data=02%7C01%7Cnicole.declouette%40gcsu.edu%7C30534b8605444f1e403f08d7dc8b1306%7Cbfd29cfa8e7142e69abc953a6d6f07d6%7C0%7C0%7C637220362188885256&amp;sdata=SFsMMuE5Kz4UJ%2BT3epHkydLsyvlotkEPaqhAqVphjSg%3D&amp;reserved=0" TargetMode="External"/><Relationship Id="rId10" Type="http://schemas.openxmlformats.org/officeDocument/2006/relationships/hyperlink" Target="https://www.usg.edu/copyright/copyright_gener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C7B0-31AA-BD42-A82E-B3A78AFF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18425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Nicole Declouette</cp:lastModifiedBy>
  <cp:revision>2</cp:revision>
  <cp:lastPrinted>2018-01-30T22:29:00Z</cp:lastPrinted>
  <dcterms:created xsi:type="dcterms:W3CDTF">2020-05-08T14:30:00Z</dcterms:created>
  <dcterms:modified xsi:type="dcterms:W3CDTF">2020-05-08T14:30:00Z</dcterms:modified>
</cp:coreProperties>
</file>