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70B" w:rsidRDefault="006A5698" w:rsidP="00865BBB">
      <w:pPr>
        <w:jc w:val="center"/>
      </w:pPr>
      <w:bookmarkStart w:id="0" w:name="_GoBack"/>
      <w:bookmarkEnd w:id="0"/>
      <w:r>
        <w:rPr>
          <w:b/>
          <w:bCs/>
          <w:sz w:val="28"/>
          <w:szCs w:val="28"/>
        </w:rPr>
        <w:t xml:space="preserve">University </w:t>
      </w:r>
      <w:r w:rsidR="0071470B">
        <w:rPr>
          <w:b/>
          <w:bCs/>
          <w:sz w:val="28"/>
          <w:szCs w:val="28"/>
        </w:rPr>
        <w:t>Senate Committee Annual Report</w:t>
      </w:r>
    </w:p>
    <w:p w:rsidR="00865BBB" w:rsidRDefault="006E2D30" w:rsidP="00865BBB">
      <w:pPr>
        <w:jc w:val="center"/>
      </w:pPr>
      <w:r>
        <w:rPr>
          <w:b/>
          <w:bCs/>
          <w:sz w:val="20"/>
          <w:szCs w:val="20"/>
        </w:rPr>
        <w:t>April 23, 2013</w:t>
      </w:r>
    </w:p>
    <w:p w:rsidR="006E2D30" w:rsidRDefault="006E2D30" w:rsidP="00865BBB">
      <w:pPr>
        <w:rPr>
          <w:b/>
          <w:bCs/>
          <w:sz w:val="20"/>
          <w:szCs w:val="20"/>
        </w:rPr>
      </w:pPr>
    </w:p>
    <w:p w:rsidR="00865BBB" w:rsidRDefault="00865BBB" w:rsidP="006C2D82">
      <w:pPr>
        <w:spacing w:after="240"/>
      </w:pPr>
      <w:r>
        <w:rPr>
          <w:b/>
          <w:bCs/>
          <w:sz w:val="20"/>
          <w:szCs w:val="20"/>
        </w:rPr>
        <w:t>Committee Name:</w:t>
      </w:r>
      <w:r w:rsidR="006E2D30">
        <w:rPr>
          <w:b/>
          <w:bCs/>
          <w:sz w:val="20"/>
          <w:szCs w:val="20"/>
        </w:rPr>
        <w:t xml:space="preserve"> Curriculum and Assessment Policy Committee</w:t>
      </w:r>
    </w:p>
    <w:p w:rsidR="00865BBB" w:rsidRDefault="00865BBB" w:rsidP="006C2D82">
      <w:pPr>
        <w:spacing w:after="240"/>
      </w:pPr>
      <w:r>
        <w:rPr>
          <w:b/>
          <w:bCs/>
          <w:sz w:val="20"/>
          <w:szCs w:val="20"/>
        </w:rPr>
        <w:t>Academic Year:</w:t>
      </w:r>
      <w:r w:rsidR="006E2D30">
        <w:rPr>
          <w:b/>
          <w:bCs/>
          <w:sz w:val="20"/>
          <w:szCs w:val="20"/>
        </w:rPr>
        <w:t xml:space="preserve"> 2012-2013</w:t>
      </w:r>
    </w:p>
    <w:p w:rsidR="00865BBB" w:rsidRDefault="00865BBB" w:rsidP="006C2D82">
      <w:pPr>
        <w:spacing w:after="240"/>
      </w:pPr>
      <w:r>
        <w:rPr>
          <w:b/>
          <w:bCs/>
          <w:sz w:val="20"/>
          <w:szCs w:val="20"/>
        </w:rPr>
        <w:t>Committee Charge:</w:t>
      </w:r>
    </w:p>
    <w:p w:rsidR="00865BBB" w:rsidRPr="006C2D82" w:rsidRDefault="006C2D82" w:rsidP="0077257A">
      <w:pPr>
        <w:autoSpaceDE w:val="0"/>
        <w:autoSpaceDN w:val="0"/>
        <w:adjustRightInd w:val="0"/>
        <w:spacing w:after="240"/>
        <w:ind w:left="720"/>
        <w:rPr>
          <w:sz w:val="20"/>
          <w:szCs w:val="20"/>
        </w:rPr>
      </w:pPr>
      <w:r w:rsidRPr="006C2D82">
        <w:rPr>
          <w:b/>
          <w:bCs/>
          <w:color w:val="000000" w:themeColor="text1"/>
          <w:sz w:val="20"/>
          <w:szCs w:val="20"/>
        </w:rPr>
        <w:t>The Curriculum and Assessment Policy Committee (CAPC)</w:t>
      </w:r>
      <w:r w:rsidRPr="006C2D82">
        <w:rPr>
          <w:b/>
          <w:bCs/>
          <w:color w:val="345A8B"/>
          <w:sz w:val="20"/>
          <w:szCs w:val="20"/>
        </w:rPr>
        <w:t xml:space="preserve"> </w:t>
      </w:r>
      <w:r w:rsidRPr="006C2D82">
        <w:rPr>
          <w:color w:val="000000"/>
          <w:sz w:val="20"/>
          <w:szCs w:val="20"/>
        </w:rPr>
        <w:t>shall be concerned with</w:t>
      </w:r>
      <w:r>
        <w:rPr>
          <w:color w:val="000000"/>
          <w:sz w:val="20"/>
          <w:szCs w:val="20"/>
        </w:rPr>
        <w:t xml:space="preserve"> </w:t>
      </w:r>
      <w:r w:rsidRPr="006C2D82">
        <w:rPr>
          <w:color w:val="000000"/>
          <w:sz w:val="20"/>
          <w:szCs w:val="20"/>
        </w:rPr>
        <w:t>policy relating to curriculum and academic assessment, which includes, but is not limited to, policies</w:t>
      </w:r>
      <w:r>
        <w:rPr>
          <w:color w:val="000000"/>
          <w:sz w:val="20"/>
          <w:szCs w:val="20"/>
        </w:rPr>
        <w:t xml:space="preserve"> </w:t>
      </w:r>
      <w:r w:rsidRPr="006C2D82">
        <w:rPr>
          <w:color w:val="000000"/>
          <w:sz w:val="20"/>
          <w:szCs w:val="20"/>
        </w:rPr>
        <w:t>relating to general university degree requirements (e.g. General Education Curriculum, Foreign</w:t>
      </w:r>
      <w:r>
        <w:rPr>
          <w:color w:val="000000"/>
          <w:sz w:val="20"/>
          <w:szCs w:val="20"/>
        </w:rPr>
        <w:t xml:space="preserve"> </w:t>
      </w:r>
      <w:r w:rsidRPr="006C2D82">
        <w:rPr>
          <w:color w:val="000000"/>
          <w:sz w:val="20"/>
          <w:szCs w:val="20"/>
        </w:rPr>
        <w:t>Language requirement, Wellness requirement), academic program assessment, and continuing</w:t>
      </w:r>
      <w:r>
        <w:rPr>
          <w:color w:val="000000"/>
          <w:sz w:val="20"/>
          <w:szCs w:val="20"/>
        </w:rPr>
        <w:t xml:space="preserve"> </w:t>
      </w:r>
      <w:r w:rsidRPr="006C2D82">
        <w:rPr>
          <w:color w:val="000000"/>
          <w:sz w:val="20"/>
          <w:szCs w:val="20"/>
        </w:rPr>
        <w:t>education and non-degree programs. In addition to its policy recommending function, this committee</w:t>
      </w:r>
      <w:r>
        <w:rPr>
          <w:color w:val="000000"/>
          <w:sz w:val="20"/>
          <w:szCs w:val="20"/>
        </w:rPr>
        <w:t xml:space="preserve"> </w:t>
      </w:r>
      <w:r w:rsidRPr="006C2D82">
        <w:rPr>
          <w:color w:val="000000"/>
          <w:sz w:val="20"/>
          <w:szCs w:val="20"/>
        </w:rPr>
        <w:t>shall be responsible for reviewing and approving proposals to create or deactivate certificates,</w:t>
      </w:r>
      <w:r>
        <w:rPr>
          <w:color w:val="000000"/>
          <w:sz w:val="20"/>
          <w:szCs w:val="20"/>
        </w:rPr>
        <w:t xml:space="preserve"> </w:t>
      </w:r>
      <w:r w:rsidRPr="006C2D82">
        <w:rPr>
          <w:color w:val="000000"/>
          <w:sz w:val="20"/>
          <w:szCs w:val="20"/>
        </w:rPr>
        <w:t>concentrations, degree programs, and minors, as well as the periodic review of general education</w:t>
      </w:r>
      <w:r>
        <w:rPr>
          <w:color w:val="000000"/>
          <w:sz w:val="20"/>
          <w:szCs w:val="20"/>
        </w:rPr>
        <w:t xml:space="preserve"> </w:t>
      </w:r>
      <w:r w:rsidRPr="006C2D82">
        <w:rPr>
          <w:color w:val="000000"/>
          <w:sz w:val="20"/>
          <w:szCs w:val="20"/>
        </w:rPr>
        <w:t>requirements and learning outcomes. This committee also provides advice, as appropriate, on</w:t>
      </w:r>
      <w:r>
        <w:rPr>
          <w:color w:val="000000"/>
          <w:sz w:val="20"/>
          <w:szCs w:val="20"/>
        </w:rPr>
        <w:t xml:space="preserve"> </w:t>
      </w:r>
      <w:r w:rsidRPr="006C2D82">
        <w:rPr>
          <w:color w:val="000000"/>
          <w:sz w:val="20"/>
          <w:szCs w:val="20"/>
        </w:rPr>
        <w:t xml:space="preserve">procedural matters relating to curriculum and academic assessment. </w:t>
      </w:r>
      <w:proofErr w:type="gramStart"/>
      <w:r w:rsidRPr="006C2D82">
        <w:rPr>
          <w:i/>
          <w:iCs/>
          <w:color w:val="000000"/>
          <w:sz w:val="20"/>
          <w:szCs w:val="20"/>
        </w:rPr>
        <w:t>(V.Section2.C.2.b.)</w:t>
      </w:r>
      <w:proofErr w:type="gramEnd"/>
    </w:p>
    <w:p w:rsidR="00865BBB" w:rsidRDefault="00865BBB" w:rsidP="0077257A">
      <w:pPr>
        <w:spacing w:after="240"/>
        <w:rPr>
          <w:b/>
          <w:bCs/>
          <w:sz w:val="20"/>
          <w:szCs w:val="20"/>
        </w:rPr>
      </w:pPr>
      <w:r w:rsidRPr="006C2D82">
        <w:rPr>
          <w:b/>
          <w:bCs/>
          <w:sz w:val="20"/>
          <w:szCs w:val="20"/>
        </w:rPr>
        <w:t>Committee Calendar:</w:t>
      </w:r>
    </w:p>
    <w:p w:rsidR="0077257A" w:rsidRDefault="00CA40AC" w:rsidP="00CA40AC">
      <w:pPr>
        <w:pStyle w:val="ListParagraph"/>
        <w:numPr>
          <w:ilvl w:val="0"/>
          <w:numId w:val="1"/>
        </w:numPr>
        <w:spacing w:after="240"/>
        <w:rPr>
          <w:sz w:val="20"/>
          <w:szCs w:val="20"/>
        </w:rPr>
      </w:pPr>
      <w:r>
        <w:rPr>
          <w:sz w:val="20"/>
          <w:szCs w:val="20"/>
        </w:rPr>
        <w:t>August 24, 2012</w:t>
      </w:r>
    </w:p>
    <w:p w:rsidR="00CA40AC" w:rsidRDefault="00CA40AC" w:rsidP="00CA40AC">
      <w:pPr>
        <w:pStyle w:val="ListParagraph"/>
        <w:numPr>
          <w:ilvl w:val="0"/>
          <w:numId w:val="1"/>
        </w:numPr>
        <w:spacing w:after="240"/>
        <w:rPr>
          <w:sz w:val="20"/>
          <w:szCs w:val="20"/>
        </w:rPr>
      </w:pPr>
      <w:r>
        <w:rPr>
          <w:sz w:val="20"/>
          <w:szCs w:val="20"/>
        </w:rPr>
        <w:t>September 28, 2012</w:t>
      </w:r>
    </w:p>
    <w:p w:rsidR="00CA40AC" w:rsidRDefault="00CA40AC" w:rsidP="00CA40AC">
      <w:pPr>
        <w:pStyle w:val="ListParagraph"/>
        <w:numPr>
          <w:ilvl w:val="0"/>
          <w:numId w:val="1"/>
        </w:numPr>
        <w:spacing w:after="240"/>
        <w:rPr>
          <w:sz w:val="20"/>
          <w:szCs w:val="20"/>
        </w:rPr>
      </w:pPr>
      <w:r>
        <w:rPr>
          <w:sz w:val="20"/>
          <w:szCs w:val="20"/>
        </w:rPr>
        <w:t>October 26, 2012</w:t>
      </w:r>
    </w:p>
    <w:p w:rsidR="00CA40AC" w:rsidRDefault="00CA40AC" w:rsidP="00CA40AC">
      <w:pPr>
        <w:pStyle w:val="ListParagraph"/>
        <w:numPr>
          <w:ilvl w:val="0"/>
          <w:numId w:val="1"/>
        </w:numPr>
        <w:spacing w:after="240"/>
        <w:rPr>
          <w:sz w:val="20"/>
          <w:szCs w:val="20"/>
        </w:rPr>
      </w:pPr>
      <w:r>
        <w:rPr>
          <w:sz w:val="20"/>
          <w:szCs w:val="20"/>
        </w:rPr>
        <w:t>November 30, 2012</w:t>
      </w:r>
    </w:p>
    <w:p w:rsidR="00CA40AC" w:rsidRDefault="00CA40AC" w:rsidP="00CA40AC">
      <w:pPr>
        <w:pStyle w:val="ListParagraph"/>
        <w:numPr>
          <w:ilvl w:val="0"/>
          <w:numId w:val="1"/>
        </w:numPr>
        <w:spacing w:after="240"/>
        <w:rPr>
          <w:sz w:val="20"/>
          <w:szCs w:val="20"/>
        </w:rPr>
      </w:pPr>
      <w:r>
        <w:rPr>
          <w:sz w:val="20"/>
          <w:szCs w:val="20"/>
        </w:rPr>
        <w:t>December – no meeting</w:t>
      </w:r>
    </w:p>
    <w:p w:rsidR="00CA40AC" w:rsidRDefault="00CA40AC" w:rsidP="00CA40AC">
      <w:pPr>
        <w:pStyle w:val="ListParagraph"/>
        <w:numPr>
          <w:ilvl w:val="0"/>
          <w:numId w:val="1"/>
        </w:numPr>
        <w:spacing w:after="240"/>
        <w:rPr>
          <w:sz w:val="20"/>
          <w:szCs w:val="20"/>
        </w:rPr>
      </w:pPr>
      <w:r>
        <w:rPr>
          <w:sz w:val="20"/>
          <w:szCs w:val="20"/>
        </w:rPr>
        <w:t>January 25, 2013</w:t>
      </w:r>
    </w:p>
    <w:p w:rsidR="00CA40AC" w:rsidRDefault="00CA40AC" w:rsidP="00CA40AC">
      <w:pPr>
        <w:pStyle w:val="ListParagraph"/>
        <w:numPr>
          <w:ilvl w:val="0"/>
          <w:numId w:val="1"/>
        </w:numPr>
        <w:spacing w:after="240"/>
        <w:rPr>
          <w:sz w:val="20"/>
          <w:szCs w:val="20"/>
        </w:rPr>
      </w:pPr>
      <w:r>
        <w:rPr>
          <w:sz w:val="20"/>
          <w:szCs w:val="20"/>
        </w:rPr>
        <w:t>February 22, 2013</w:t>
      </w:r>
    </w:p>
    <w:p w:rsidR="00CA40AC" w:rsidRPr="0077257A" w:rsidRDefault="00CA40AC" w:rsidP="00CA40AC">
      <w:pPr>
        <w:pStyle w:val="ListParagraph"/>
        <w:numPr>
          <w:ilvl w:val="0"/>
          <w:numId w:val="1"/>
        </w:numPr>
        <w:spacing w:after="240"/>
        <w:rPr>
          <w:sz w:val="20"/>
          <w:szCs w:val="20"/>
        </w:rPr>
      </w:pPr>
      <w:r>
        <w:rPr>
          <w:sz w:val="20"/>
          <w:szCs w:val="20"/>
        </w:rPr>
        <w:t>March 22, 2013</w:t>
      </w:r>
    </w:p>
    <w:p w:rsidR="00865BBB" w:rsidRDefault="00865BBB" w:rsidP="0077257A">
      <w:pPr>
        <w:spacing w:after="240"/>
        <w:rPr>
          <w:sz w:val="20"/>
          <w:szCs w:val="20"/>
        </w:rPr>
      </w:pPr>
      <w:r>
        <w:rPr>
          <w:b/>
          <w:bCs/>
          <w:sz w:val="20"/>
          <w:szCs w:val="20"/>
        </w:rPr>
        <w:t>Executive Summary</w:t>
      </w:r>
      <w:r>
        <w:rPr>
          <w:sz w:val="20"/>
          <w:szCs w:val="20"/>
        </w:rPr>
        <w:t>:</w:t>
      </w:r>
    </w:p>
    <w:p w:rsidR="00D34799" w:rsidRDefault="00346311" w:rsidP="00A10D2D">
      <w:pPr>
        <w:ind w:firstLine="720"/>
        <w:rPr>
          <w:sz w:val="20"/>
          <w:szCs w:val="20"/>
        </w:rPr>
      </w:pPr>
      <w:r w:rsidRPr="00346311">
        <w:rPr>
          <w:sz w:val="20"/>
          <w:szCs w:val="20"/>
        </w:rPr>
        <w:t xml:space="preserve">Six motions were </w:t>
      </w:r>
      <w:r>
        <w:rPr>
          <w:sz w:val="20"/>
          <w:szCs w:val="20"/>
        </w:rPr>
        <w:t>successfully passed through the</w:t>
      </w:r>
      <w:r w:rsidRPr="00346311">
        <w:rPr>
          <w:sz w:val="20"/>
          <w:szCs w:val="20"/>
        </w:rPr>
        <w:t xml:space="preserve"> Senate during the academic year</w:t>
      </w:r>
      <w:r w:rsidR="00A10D2D">
        <w:rPr>
          <w:sz w:val="20"/>
          <w:szCs w:val="20"/>
        </w:rPr>
        <w:t xml:space="preserve"> regarding diverse curricular issues:</w:t>
      </w:r>
    </w:p>
    <w:p w:rsidR="00346311" w:rsidRDefault="00A10D2D" w:rsidP="00A10D2D">
      <w:pPr>
        <w:pStyle w:val="ListParagraph"/>
        <w:numPr>
          <w:ilvl w:val="0"/>
          <w:numId w:val="6"/>
        </w:numPr>
        <w:spacing w:after="240"/>
        <w:rPr>
          <w:sz w:val="20"/>
          <w:szCs w:val="20"/>
        </w:rPr>
      </w:pPr>
      <w:r>
        <w:rPr>
          <w:sz w:val="20"/>
          <w:szCs w:val="20"/>
        </w:rPr>
        <w:t>MAT in Early Childhood Education</w:t>
      </w:r>
    </w:p>
    <w:p w:rsidR="00A10D2D" w:rsidRPr="00A10D2D" w:rsidRDefault="00A10D2D" w:rsidP="00A10D2D">
      <w:pPr>
        <w:pStyle w:val="ListParagraph"/>
        <w:numPr>
          <w:ilvl w:val="0"/>
          <w:numId w:val="6"/>
        </w:numPr>
        <w:spacing w:after="240"/>
        <w:rPr>
          <w:rStyle w:val="Strong"/>
          <w:b w:val="0"/>
          <w:bCs w:val="0"/>
          <w:sz w:val="20"/>
          <w:szCs w:val="20"/>
        </w:rPr>
      </w:pPr>
      <w:r w:rsidRPr="00AB35F5">
        <w:rPr>
          <w:rStyle w:val="Strong"/>
          <w:b w:val="0"/>
          <w:sz w:val="20"/>
          <w:szCs w:val="20"/>
        </w:rPr>
        <w:t>Post-Masters Certificate for Family Nurse Practitioner</w:t>
      </w:r>
    </w:p>
    <w:p w:rsidR="00A10D2D" w:rsidRPr="00A10D2D" w:rsidRDefault="00A10D2D" w:rsidP="00A10D2D">
      <w:pPr>
        <w:pStyle w:val="ListParagraph"/>
        <w:numPr>
          <w:ilvl w:val="0"/>
          <w:numId w:val="6"/>
        </w:numPr>
        <w:spacing w:after="240"/>
        <w:rPr>
          <w:rStyle w:val="Strong"/>
          <w:b w:val="0"/>
          <w:bCs w:val="0"/>
          <w:sz w:val="20"/>
          <w:szCs w:val="20"/>
        </w:rPr>
      </w:pPr>
      <w:r w:rsidRPr="00D27990">
        <w:rPr>
          <w:rStyle w:val="Strong"/>
          <w:b w:val="0"/>
          <w:sz w:val="20"/>
          <w:szCs w:val="20"/>
        </w:rPr>
        <w:t>Kinesiology Minor Name Change</w:t>
      </w:r>
    </w:p>
    <w:p w:rsidR="00A10D2D" w:rsidRPr="00A10D2D" w:rsidRDefault="00A10D2D" w:rsidP="00A10D2D">
      <w:pPr>
        <w:pStyle w:val="ListParagraph"/>
        <w:numPr>
          <w:ilvl w:val="0"/>
          <w:numId w:val="6"/>
        </w:numPr>
        <w:spacing w:after="240"/>
        <w:rPr>
          <w:rStyle w:val="Strong"/>
          <w:b w:val="0"/>
          <w:bCs w:val="0"/>
          <w:sz w:val="20"/>
          <w:szCs w:val="20"/>
        </w:rPr>
      </w:pPr>
      <w:r w:rsidRPr="00AB35F5">
        <w:rPr>
          <w:rStyle w:val="Strong"/>
          <w:b w:val="0"/>
          <w:sz w:val="20"/>
          <w:szCs w:val="20"/>
        </w:rPr>
        <w:t>Revision of Global Perspectives overla</w:t>
      </w:r>
      <w:r w:rsidR="0025172E">
        <w:rPr>
          <w:rStyle w:val="Strong"/>
          <w:b w:val="0"/>
          <w:sz w:val="20"/>
          <w:szCs w:val="20"/>
        </w:rPr>
        <w:t>y requirement in core curriculum</w:t>
      </w:r>
    </w:p>
    <w:p w:rsidR="00A10D2D" w:rsidRPr="00A10D2D" w:rsidRDefault="00A10D2D" w:rsidP="00A10D2D">
      <w:pPr>
        <w:pStyle w:val="ListParagraph"/>
        <w:numPr>
          <w:ilvl w:val="0"/>
          <w:numId w:val="6"/>
        </w:numPr>
        <w:spacing w:after="240"/>
        <w:rPr>
          <w:rStyle w:val="Strong"/>
          <w:b w:val="0"/>
          <w:bCs w:val="0"/>
          <w:sz w:val="20"/>
          <w:szCs w:val="20"/>
        </w:rPr>
      </w:pPr>
      <w:r w:rsidRPr="00F31611">
        <w:rPr>
          <w:rStyle w:val="Strong"/>
          <w:b w:val="0"/>
          <w:sz w:val="20"/>
          <w:szCs w:val="20"/>
        </w:rPr>
        <w:t>Study Abroad &amp; Global Perspectives Overlay Policy</w:t>
      </w:r>
    </w:p>
    <w:p w:rsidR="00A10D2D" w:rsidRPr="00A10D2D" w:rsidRDefault="00A10D2D" w:rsidP="00A10D2D">
      <w:pPr>
        <w:pStyle w:val="ListParagraph"/>
        <w:numPr>
          <w:ilvl w:val="0"/>
          <w:numId w:val="6"/>
        </w:numPr>
        <w:rPr>
          <w:rStyle w:val="Strong"/>
          <w:b w:val="0"/>
          <w:bCs w:val="0"/>
          <w:sz w:val="20"/>
          <w:szCs w:val="20"/>
        </w:rPr>
      </w:pPr>
      <w:r w:rsidRPr="00B421E3">
        <w:rPr>
          <w:rStyle w:val="Strong"/>
          <w:b w:val="0"/>
          <w:sz w:val="20"/>
          <w:szCs w:val="20"/>
        </w:rPr>
        <w:t>Substantive Change Requirements Policy</w:t>
      </w:r>
    </w:p>
    <w:p w:rsidR="00C64743" w:rsidRDefault="00C64743" w:rsidP="00A10D2D">
      <w:pPr>
        <w:ind w:firstLine="720"/>
        <w:rPr>
          <w:sz w:val="20"/>
          <w:szCs w:val="20"/>
        </w:rPr>
      </w:pPr>
      <w:r>
        <w:rPr>
          <w:sz w:val="20"/>
          <w:szCs w:val="20"/>
        </w:rPr>
        <w:t xml:space="preserve">New concentrations were approved in Economics and </w:t>
      </w:r>
      <w:r w:rsidR="00AB6C01">
        <w:rPr>
          <w:sz w:val="20"/>
          <w:szCs w:val="20"/>
        </w:rPr>
        <w:t>Computer Science</w:t>
      </w:r>
      <w:r>
        <w:rPr>
          <w:sz w:val="20"/>
          <w:szCs w:val="20"/>
        </w:rPr>
        <w:t xml:space="preserve"> majors.  The proposal for a concentration in religious studies originally proposed in 2011-12 was not re-submitted to CAPC during this academic year.</w:t>
      </w:r>
    </w:p>
    <w:p w:rsidR="00A10D2D" w:rsidRDefault="0025172E" w:rsidP="00A10D2D">
      <w:pPr>
        <w:ind w:firstLine="720"/>
        <w:rPr>
          <w:sz w:val="20"/>
          <w:szCs w:val="20"/>
        </w:rPr>
      </w:pPr>
      <w:r>
        <w:rPr>
          <w:sz w:val="20"/>
          <w:szCs w:val="20"/>
        </w:rPr>
        <w:t>Early in the academic year, the group recognized a need to have a “gatekeeper” or point person on campus to oversee area B courses within the core curriculum, since these courses might come from any academic discipline.  In February, we received word that Dr. Tom Ormond, Associate Provost, would serve in this capacity for the university.</w:t>
      </w:r>
    </w:p>
    <w:p w:rsidR="0025172E" w:rsidRDefault="0025172E" w:rsidP="00A10D2D">
      <w:pPr>
        <w:ind w:firstLine="720"/>
        <w:rPr>
          <w:sz w:val="20"/>
          <w:szCs w:val="20"/>
        </w:rPr>
      </w:pPr>
      <w:r>
        <w:rPr>
          <w:sz w:val="20"/>
          <w:szCs w:val="20"/>
        </w:rPr>
        <w:t>Each meeting included announcements by the Subcommittee on Core Curriculum (</w:t>
      </w:r>
      <w:proofErr w:type="spellStart"/>
      <w:r>
        <w:rPr>
          <w:sz w:val="20"/>
          <w:szCs w:val="20"/>
        </w:rPr>
        <w:t>SoCC</w:t>
      </w:r>
      <w:proofErr w:type="spellEnd"/>
      <w:r>
        <w:rPr>
          <w:sz w:val="20"/>
          <w:szCs w:val="20"/>
        </w:rPr>
        <w:t xml:space="preserve">) chair regarding new course proposals accepted by the committee.  Although the </w:t>
      </w:r>
      <w:proofErr w:type="gramStart"/>
      <w:r>
        <w:rPr>
          <w:sz w:val="20"/>
          <w:szCs w:val="20"/>
        </w:rPr>
        <w:t>majority were</w:t>
      </w:r>
      <w:proofErr w:type="gramEnd"/>
      <w:r>
        <w:rPr>
          <w:sz w:val="20"/>
          <w:szCs w:val="20"/>
        </w:rPr>
        <w:t xml:space="preserve"> in area B, there were indeed some new courses in other areas of the core as well.</w:t>
      </w:r>
    </w:p>
    <w:p w:rsidR="00C64743" w:rsidRDefault="0025172E" w:rsidP="00C64743">
      <w:pPr>
        <w:spacing w:after="240"/>
        <w:ind w:firstLine="720"/>
        <w:rPr>
          <w:sz w:val="20"/>
          <w:szCs w:val="20"/>
        </w:rPr>
        <w:sectPr w:rsidR="00C64743" w:rsidSect="005844EC">
          <w:headerReference w:type="default" r:id="rId8"/>
          <w:footerReference w:type="default" r:id="rId9"/>
          <w:pgSz w:w="12240" w:h="15840"/>
          <w:pgMar w:top="1152" w:right="1152" w:bottom="1152" w:left="1152" w:header="720" w:footer="720" w:gutter="0"/>
          <w:cols w:space="720"/>
          <w:docGrid w:linePitch="360"/>
        </w:sectPr>
      </w:pPr>
      <w:r>
        <w:rPr>
          <w:sz w:val="20"/>
          <w:szCs w:val="20"/>
        </w:rPr>
        <w:t>The committee made two significant changes to the global overlay requirements in the original core curriculum plan that should enable students to meet graduation requirements through a greater number of options.</w:t>
      </w:r>
    </w:p>
    <w:p w:rsidR="0025172E" w:rsidRPr="00A10D2D" w:rsidRDefault="0025172E" w:rsidP="00C64743">
      <w:pPr>
        <w:spacing w:after="240"/>
        <w:ind w:firstLine="720"/>
        <w:rPr>
          <w:sz w:val="20"/>
          <w:szCs w:val="20"/>
        </w:rPr>
      </w:pPr>
    </w:p>
    <w:p w:rsidR="004B7144" w:rsidRDefault="00865BBB" w:rsidP="00865BBB">
      <w:pPr>
        <w:rPr>
          <w:b/>
          <w:bCs/>
          <w:sz w:val="20"/>
          <w:szCs w:val="20"/>
        </w:rPr>
      </w:pPr>
      <w:r>
        <w:rPr>
          <w:b/>
          <w:bCs/>
          <w:sz w:val="20"/>
          <w:szCs w:val="20"/>
        </w:rPr>
        <w:t>Committee Membership</w:t>
      </w:r>
      <w:r>
        <w:rPr>
          <w:sz w:val="20"/>
          <w:szCs w:val="20"/>
        </w:rPr>
        <w:t xml:space="preserve"> </w:t>
      </w:r>
      <w:r>
        <w:rPr>
          <w:b/>
          <w:bCs/>
          <w:sz w:val="20"/>
          <w:szCs w:val="20"/>
        </w:rPr>
        <w:t>and Record of Attendance:</w:t>
      </w:r>
    </w:p>
    <w:p w:rsidR="004B7144" w:rsidRPr="0077257A" w:rsidRDefault="004B7144" w:rsidP="00D34799">
      <w:pPr>
        <w:spacing w:after="120"/>
        <w:rPr>
          <w:sz w:val="20"/>
          <w:szCs w:val="20"/>
        </w:rPr>
      </w:pPr>
      <w:r w:rsidRPr="0077257A">
        <w:rPr>
          <w:b/>
          <w:sz w:val="20"/>
          <w:szCs w:val="20"/>
        </w:rPr>
        <w:t>“P” denotes Present</w:t>
      </w:r>
      <w:proofErr w:type="gramStart"/>
      <w:r w:rsidRPr="0077257A">
        <w:rPr>
          <w:b/>
          <w:sz w:val="20"/>
          <w:szCs w:val="20"/>
        </w:rPr>
        <w:t>,  “</w:t>
      </w:r>
      <w:proofErr w:type="gramEnd"/>
      <w:r w:rsidRPr="0077257A">
        <w:rPr>
          <w:b/>
          <w:sz w:val="20"/>
          <w:szCs w:val="20"/>
        </w:rPr>
        <w:t>A” denotes Absent,   “R” denotes Regrets</w:t>
      </w:r>
    </w:p>
    <w:tbl>
      <w:tblPr>
        <w:tblW w:w="9018" w:type="dxa"/>
        <w:tblBorders>
          <w:top w:val="nil"/>
          <w:left w:val="nil"/>
          <w:right w:val="nil"/>
        </w:tblBorders>
        <w:tblLayout w:type="fixed"/>
        <w:tblLook w:val="0000" w:firstRow="0" w:lastRow="0" w:firstColumn="0" w:lastColumn="0" w:noHBand="0" w:noVBand="0"/>
      </w:tblPr>
      <w:tblGrid>
        <w:gridCol w:w="2538"/>
        <w:gridCol w:w="720"/>
        <w:gridCol w:w="720"/>
        <w:gridCol w:w="720"/>
        <w:gridCol w:w="720"/>
        <w:gridCol w:w="720"/>
        <w:gridCol w:w="720"/>
        <w:gridCol w:w="720"/>
        <w:gridCol w:w="720"/>
        <w:gridCol w:w="720"/>
      </w:tblGrid>
      <w:tr w:rsidR="004B7144" w:rsidRPr="007C432C" w:rsidTr="004B7144">
        <w:tc>
          <w:tcPr>
            <w:tcW w:w="2538" w:type="dxa"/>
            <w:tcBorders>
              <w:top w:val="single" w:sz="8" w:space="0" w:color="000000"/>
              <w:left w:val="single" w:sz="8" w:space="0" w:color="000000"/>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rPr>
                <w:color w:val="1A1A1A"/>
                <w:sz w:val="20"/>
                <w:szCs w:val="20"/>
              </w:rPr>
            </w:pPr>
            <w:r w:rsidRPr="007C432C">
              <w:rPr>
                <w:b/>
                <w:bCs/>
                <w:color w:val="1A1A1A"/>
                <w:sz w:val="20"/>
                <w:szCs w:val="20"/>
              </w:rPr>
              <w:t>Name</w:t>
            </w:r>
          </w:p>
        </w:tc>
        <w:tc>
          <w:tcPr>
            <w:tcW w:w="720" w:type="dxa"/>
            <w:tcBorders>
              <w:top w:val="single" w:sz="8" w:space="0" w:color="000000"/>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b/>
                <w:bCs/>
                <w:color w:val="1A1A1A"/>
                <w:sz w:val="20"/>
                <w:szCs w:val="20"/>
              </w:rPr>
              <w:t>AUG</w:t>
            </w:r>
          </w:p>
        </w:tc>
        <w:tc>
          <w:tcPr>
            <w:tcW w:w="720" w:type="dxa"/>
            <w:tcBorders>
              <w:top w:val="single" w:sz="8" w:space="0" w:color="000000"/>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b/>
                <w:bCs/>
                <w:color w:val="1A1A1A"/>
                <w:sz w:val="20"/>
                <w:szCs w:val="20"/>
              </w:rPr>
              <w:t>SEPT</w:t>
            </w:r>
          </w:p>
        </w:tc>
        <w:tc>
          <w:tcPr>
            <w:tcW w:w="720" w:type="dxa"/>
            <w:tcBorders>
              <w:top w:val="single" w:sz="8" w:space="0" w:color="000000"/>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b/>
                <w:bCs/>
                <w:color w:val="1A1A1A"/>
                <w:sz w:val="20"/>
                <w:szCs w:val="20"/>
              </w:rPr>
              <w:t>OCT</w:t>
            </w:r>
          </w:p>
        </w:tc>
        <w:tc>
          <w:tcPr>
            <w:tcW w:w="720" w:type="dxa"/>
            <w:tcBorders>
              <w:top w:val="single" w:sz="8" w:space="0" w:color="000000"/>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b/>
                <w:bCs/>
                <w:color w:val="1A1A1A"/>
                <w:sz w:val="20"/>
                <w:szCs w:val="20"/>
              </w:rPr>
              <w:t>NOV</w:t>
            </w:r>
          </w:p>
        </w:tc>
        <w:tc>
          <w:tcPr>
            <w:tcW w:w="720" w:type="dxa"/>
            <w:tcBorders>
              <w:top w:val="single" w:sz="8" w:space="0" w:color="000000"/>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b/>
                <w:bCs/>
                <w:color w:val="1A1A1A"/>
                <w:sz w:val="20"/>
                <w:szCs w:val="20"/>
              </w:rPr>
              <w:t>DEC</w:t>
            </w:r>
          </w:p>
        </w:tc>
        <w:tc>
          <w:tcPr>
            <w:tcW w:w="720" w:type="dxa"/>
            <w:tcBorders>
              <w:top w:val="single" w:sz="8" w:space="0" w:color="000000"/>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b/>
                <w:bCs/>
                <w:color w:val="1A1A1A"/>
                <w:sz w:val="20"/>
                <w:szCs w:val="20"/>
              </w:rPr>
              <w:t>JAN</w:t>
            </w:r>
          </w:p>
        </w:tc>
        <w:tc>
          <w:tcPr>
            <w:tcW w:w="720" w:type="dxa"/>
            <w:tcBorders>
              <w:top w:val="single" w:sz="8" w:space="0" w:color="000000"/>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b/>
                <w:bCs/>
                <w:color w:val="1A1A1A"/>
                <w:sz w:val="20"/>
                <w:szCs w:val="20"/>
              </w:rPr>
              <w:t>FEB</w:t>
            </w:r>
          </w:p>
        </w:tc>
        <w:tc>
          <w:tcPr>
            <w:tcW w:w="720" w:type="dxa"/>
            <w:tcBorders>
              <w:top w:val="single" w:sz="8" w:space="0" w:color="000000"/>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b/>
                <w:bCs/>
                <w:color w:val="1A1A1A"/>
                <w:sz w:val="20"/>
                <w:szCs w:val="20"/>
              </w:rPr>
              <w:t>MAR</w:t>
            </w:r>
          </w:p>
        </w:tc>
        <w:tc>
          <w:tcPr>
            <w:tcW w:w="720" w:type="dxa"/>
            <w:tcBorders>
              <w:top w:val="single" w:sz="8" w:space="0" w:color="000000"/>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b/>
                <w:bCs/>
                <w:color w:val="1A1A1A"/>
                <w:sz w:val="20"/>
                <w:szCs w:val="20"/>
              </w:rPr>
              <w:t>APR</w:t>
            </w:r>
          </w:p>
        </w:tc>
      </w:tr>
      <w:tr w:rsidR="004B7144" w:rsidRPr="007C432C" w:rsidTr="004B7144">
        <w:tblPrEx>
          <w:tblBorders>
            <w:top w:val="none" w:sz="0" w:space="0" w:color="auto"/>
          </w:tblBorders>
        </w:tblPrEx>
        <w:tc>
          <w:tcPr>
            <w:tcW w:w="2538" w:type="dxa"/>
            <w:tcBorders>
              <w:left w:val="single" w:sz="8" w:space="0" w:color="000000"/>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rPr>
                <w:color w:val="1A1A1A"/>
                <w:sz w:val="20"/>
                <w:szCs w:val="20"/>
              </w:rPr>
            </w:pPr>
            <w:r w:rsidRPr="007C432C">
              <w:rPr>
                <w:color w:val="1A1A1A"/>
                <w:sz w:val="20"/>
                <w:szCs w:val="20"/>
              </w:rPr>
              <w:t>Angel Abney</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R</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A</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A</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A</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A</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R</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A</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p>
        </w:tc>
      </w:tr>
      <w:tr w:rsidR="004B7144" w:rsidRPr="007C432C" w:rsidTr="004B7144">
        <w:tblPrEx>
          <w:tblBorders>
            <w:top w:val="none" w:sz="0" w:space="0" w:color="auto"/>
          </w:tblBorders>
        </w:tblPrEx>
        <w:tc>
          <w:tcPr>
            <w:tcW w:w="2538" w:type="dxa"/>
            <w:tcBorders>
              <w:left w:val="single" w:sz="8" w:space="0" w:color="000000"/>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rPr>
                <w:color w:val="1A1A1A"/>
                <w:sz w:val="20"/>
                <w:szCs w:val="20"/>
              </w:rPr>
            </w:pPr>
            <w:r w:rsidRPr="007C432C">
              <w:rPr>
                <w:color w:val="1A1A1A"/>
                <w:sz w:val="20"/>
                <w:szCs w:val="20"/>
              </w:rPr>
              <w:t>Kay Anderson</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p>
        </w:tc>
      </w:tr>
      <w:tr w:rsidR="004B7144" w:rsidRPr="007C432C" w:rsidTr="004B7144">
        <w:tblPrEx>
          <w:tblBorders>
            <w:top w:val="none" w:sz="0" w:space="0" w:color="auto"/>
          </w:tblBorders>
        </w:tblPrEx>
        <w:tc>
          <w:tcPr>
            <w:tcW w:w="2538" w:type="dxa"/>
            <w:tcBorders>
              <w:left w:val="single" w:sz="8" w:space="0" w:color="000000"/>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rPr>
                <w:color w:val="1A1A1A"/>
                <w:sz w:val="20"/>
                <w:szCs w:val="20"/>
              </w:rPr>
            </w:pPr>
            <w:proofErr w:type="spellStart"/>
            <w:r w:rsidRPr="007C432C">
              <w:rPr>
                <w:color w:val="1A1A1A"/>
                <w:sz w:val="20"/>
                <w:szCs w:val="20"/>
              </w:rPr>
              <w:t>Koushik</w:t>
            </w:r>
            <w:proofErr w:type="spellEnd"/>
            <w:r w:rsidRPr="007C432C">
              <w:rPr>
                <w:color w:val="1A1A1A"/>
                <w:sz w:val="20"/>
                <w:szCs w:val="20"/>
              </w:rPr>
              <w:t xml:space="preserve"> </w:t>
            </w:r>
            <w:proofErr w:type="spellStart"/>
            <w:r w:rsidRPr="007C432C">
              <w:rPr>
                <w:color w:val="1A1A1A"/>
                <w:sz w:val="20"/>
                <w:szCs w:val="20"/>
              </w:rPr>
              <w:t>Banarjee</w:t>
            </w:r>
            <w:proofErr w:type="spellEnd"/>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p>
        </w:tc>
        <w:tc>
          <w:tcPr>
            <w:tcW w:w="720" w:type="dxa"/>
            <w:tcBorders>
              <w:bottom w:val="single" w:sz="8" w:space="0" w:color="000000"/>
              <w:right w:val="single" w:sz="8" w:space="0" w:color="000000"/>
            </w:tcBorders>
            <w:tcMar>
              <w:top w:w="140" w:type="nil"/>
              <w:right w:w="140" w:type="nil"/>
            </w:tcMar>
          </w:tcPr>
          <w:p w:rsidR="004B7144" w:rsidRPr="007C432C" w:rsidRDefault="00AB6C01" w:rsidP="00C7656B">
            <w:pPr>
              <w:widowControl w:val="0"/>
              <w:autoSpaceDE w:val="0"/>
              <w:autoSpaceDN w:val="0"/>
              <w:adjustRightInd w:val="0"/>
              <w:jc w:val="center"/>
              <w:rPr>
                <w:color w:val="1A1A1A"/>
                <w:sz w:val="20"/>
                <w:szCs w:val="20"/>
              </w:rPr>
            </w:pPr>
            <w:r>
              <w:rPr>
                <w:color w:val="1A1A1A"/>
                <w:sz w:val="20"/>
                <w:szCs w:val="20"/>
              </w:rPr>
              <w:t>R</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p>
        </w:tc>
      </w:tr>
      <w:tr w:rsidR="004B7144" w:rsidRPr="007C432C" w:rsidTr="004B7144">
        <w:tblPrEx>
          <w:tblBorders>
            <w:top w:val="none" w:sz="0" w:space="0" w:color="auto"/>
          </w:tblBorders>
        </w:tblPrEx>
        <w:tc>
          <w:tcPr>
            <w:tcW w:w="2538" w:type="dxa"/>
            <w:tcBorders>
              <w:left w:val="single" w:sz="8" w:space="0" w:color="000000"/>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rPr>
                <w:color w:val="1A1A1A"/>
                <w:sz w:val="20"/>
                <w:szCs w:val="20"/>
              </w:rPr>
            </w:pPr>
            <w:r w:rsidRPr="007C432C">
              <w:rPr>
                <w:color w:val="1A1A1A"/>
                <w:sz w:val="20"/>
                <w:szCs w:val="20"/>
              </w:rPr>
              <w:t>Ryan Brown</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R</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p>
        </w:tc>
      </w:tr>
      <w:tr w:rsidR="004B7144" w:rsidRPr="007C432C" w:rsidTr="004B7144">
        <w:tblPrEx>
          <w:tblBorders>
            <w:top w:val="none" w:sz="0" w:space="0" w:color="auto"/>
          </w:tblBorders>
        </w:tblPrEx>
        <w:tc>
          <w:tcPr>
            <w:tcW w:w="2538" w:type="dxa"/>
            <w:tcBorders>
              <w:left w:val="single" w:sz="8" w:space="0" w:color="000000"/>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rPr>
                <w:color w:val="1A1A1A"/>
                <w:sz w:val="20"/>
                <w:szCs w:val="20"/>
              </w:rPr>
            </w:pPr>
            <w:r w:rsidRPr="007C432C">
              <w:rPr>
                <w:color w:val="1A1A1A"/>
                <w:sz w:val="20"/>
                <w:szCs w:val="20"/>
              </w:rPr>
              <w:t xml:space="preserve">George </w:t>
            </w:r>
            <w:proofErr w:type="spellStart"/>
            <w:r w:rsidRPr="007C432C">
              <w:rPr>
                <w:color w:val="1A1A1A"/>
                <w:sz w:val="20"/>
                <w:szCs w:val="20"/>
              </w:rPr>
              <w:t>Cazacu</w:t>
            </w:r>
            <w:proofErr w:type="spellEnd"/>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A</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p>
        </w:tc>
      </w:tr>
      <w:tr w:rsidR="004B7144" w:rsidRPr="007C432C" w:rsidTr="004B7144">
        <w:tblPrEx>
          <w:tblBorders>
            <w:top w:val="none" w:sz="0" w:space="0" w:color="auto"/>
          </w:tblBorders>
        </w:tblPrEx>
        <w:tc>
          <w:tcPr>
            <w:tcW w:w="2538" w:type="dxa"/>
            <w:tcBorders>
              <w:left w:val="single" w:sz="8" w:space="0" w:color="000000"/>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rPr>
                <w:color w:val="1A1A1A"/>
                <w:sz w:val="20"/>
                <w:szCs w:val="20"/>
              </w:rPr>
            </w:pPr>
            <w:r w:rsidRPr="007C432C">
              <w:rPr>
                <w:color w:val="1A1A1A"/>
                <w:sz w:val="20"/>
                <w:szCs w:val="20"/>
              </w:rPr>
              <w:t xml:space="preserve">David </w:t>
            </w:r>
            <w:proofErr w:type="spellStart"/>
            <w:r w:rsidRPr="007C432C">
              <w:rPr>
                <w:color w:val="1A1A1A"/>
                <w:sz w:val="20"/>
                <w:szCs w:val="20"/>
              </w:rPr>
              <w:t>DePosada</w:t>
            </w:r>
            <w:proofErr w:type="spellEnd"/>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R</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R</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p>
        </w:tc>
      </w:tr>
      <w:tr w:rsidR="004B7144" w:rsidRPr="007C432C" w:rsidTr="004B7144">
        <w:tblPrEx>
          <w:tblBorders>
            <w:top w:val="none" w:sz="0" w:space="0" w:color="auto"/>
          </w:tblBorders>
        </w:tblPrEx>
        <w:tc>
          <w:tcPr>
            <w:tcW w:w="2538" w:type="dxa"/>
            <w:tcBorders>
              <w:left w:val="single" w:sz="8" w:space="0" w:color="000000"/>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rPr>
                <w:color w:val="1A1A1A"/>
                <w:sz w:val="20"/>
                <w:szCs w:val="20"/>
              </w:rPr>
            </w:pPr>
            <w:r w:rsidRPr="007C432C">
              <w:rPr>
                <w:color w:val="1A1A1A"/>
                <w:sz w:val="20"/>
                <w:szCs w:val="20"/>
              </w:rPr>
              <w:t>Steve Elliott-Gower</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R</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R</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R</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p>
        </w:tc>
      </w:tr>
      <w:tr w:rsidR="004B7144" w:rsidRPr="007C432C" w:rsidTr="004B7144">
        <w:tblPrEx>
          <w:tblBorders>
            <w:top w:val="none" w:sz="0" w:space="0" w:color="auto"/>
          </w:tblBorders>
        </w:tblPrEx>
        <w:tc>
          <w:tcPr>
            <w:tcW w:w="2538" w:type="dxa"/>
            <w:tcBorders>
              <w:left w:val="single" w:sz="8" w:space="0" w:color="000000"/>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rPr>
                <w:color w:val="1A1A1A"/>
                <w:sz w:val="20"/>
                <w:szCs w:val="20"/>
              </w:rPr>
            </w:pPr>
            <w:r w:rsidRPr="007C432C">
              <w:rPr>
                <w:color w:val="1A1A1A"/>
                <w:sz w:val="20"/>
                <w:szCs w:val="20"/>
              </w:rPr>
              <w:t>Cara Meade (Secretary)</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p>
        </w:tc>
      </w:tr>
      <w:tr w:rsidR="004B7144" w:rsidRPr="007C432C" w:rsidTr="004B7144">
        <w:tblPrEx>
          <w:tblBorders>
            <w:top w:val="none" w:sz="0" w:space="0" w:color="auto"/>
          </w:tblBorders>
        </w:tblPrEx>
        <w:tc>
          <w:tcPr>
            <w:tcW w:w="2538" w:type="dxa"/>
            <w:tcBorders>
              <w:left w:val="single" w:sz="8" w:space="0" w:color="000000"/>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rPr>
                <w:color w:val="1A1A1A"/>
                <w:sz w:val="20"/>
                <w:szCs w:val="20"/>
              </w:rPr>
            </w:pPr>
            <w:r w:rsidRPr="007C432C">
              <w:rPr>
                <w:color w:val="1A1A1A"/>
                <w:sz w:val="20"/>
                <w:szCs w:val="20"/>
              </w:rPr>
              <w:t xml:space="preserve">Julia </w:t>
            </w:r>
            <w:proofErr w:type="spellStart"/>
            <w:r w:rsidRPr="007C432C">
              <w:rPr>
                <w:color w:val="1A1A1A"/>
                <w:sz w:val="20"/>
                <w:szCs w:val="20"/>
              </w:rPr>
              <w:t>Metzker</w:t>
            </w:r>
            <w:proofErr w:type="spellEnd"/>
            <w:r w:rsidRPr="007C432C">
              <w:rPr>
                <w:color w:val="1A1A1A"/>
                <w:sz w:val="20"/>
                <w:szCs w:val="20"/>
              </w:rPr>
              <w:t xml:space="preserve"> (Vice Chair)</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A</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R</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p>
        </w:tc>
      </w:tr>
      <w:tr w:rsidR="004B7144" w:rsidRPr="007C432C" w:rsidTr="004B7144">
        <w:tblPrEx>
          <w:tblBorders>
            <w:top w:val="none" w:sz="0" w:space="0" w:color="auto"/>
          </w:tblBorders>
        </w:tblPrEx>
        <w:tc>
          <w:tcPr>
            <w:tcW w:w="2538" w:type="dxa"/>
            <w:tcBorders>
              <w:left w:val="single" w:sz="8" w:space="0" w:color="000000"/>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rPr>
                <w:color w:val="1A1A1A"/>
                <w:sz w:val="20"/>
                <w:szCs w:val="20"/>
              </w:rPr>
            </w:pPr>
            <w:r w:rsidRPr="007C432C">
              <w:rPr>
                <w:color w:val="1A1A1A"/>
                <w:sz w:val="20"/>
                <w:szCs w:val="20"/>
              </w:rPr>
              <w:t xml:space="preserve">Brian </w:t>
            </w:r>
            <w:proofErr w:type="spellStart"/>
            <w:r w:rsidRPr="007C432C">
              <w:rPr>
                <w:color w:val="1A1A1A"/>
                <w:sz w:val="20"/>
                <w:szCs w:val="20"/>
              </w:rPr>
              <w:t>Mumma</w:t>
            </w:r>
            <w:proofErr w:type="spellEnd"/>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p>
        </w:tc>
      </w:tr>
      <w:tr w:rsidR="004B7144" w:rsidRPr="007C432C" w:rsidTr="004B7144">
        <w:tblPrEx>
          <w:tblBorders>
            <w:top w:val="none" w:sz="0" w:space="0" w:color="auto"/>
          </w:tblBorders>
        </w:tblPrEx>
        <w:tc>
          <w:tcPr>
            <w:tcW w:w="2538" w:type="dxa"/>
            <w:tcBorders>
              <w:left w:val="single" w:sz="8" w:space="0" w:color="000000"/>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rPr>
                <w:color w:val="1A1A1A"/>
                <w:sz w:val="20"/>
                <w:szCs w:val="20"/>
              </w:rPr>
            </w:pPr>
            <w:r w:rsidRPr="007C432C">
              <w:rPr>
                <w:color w:val="1A1A1A"/>
                <w:sz w:val="20"/>
                <w:szCs w:val="20"/>
              </w:rPr>
              <w:t xml:space="preserve">Joe </w:t>
            </w:r>
            <w:proofErr w:type="spellStart"/>
            <w:r w:rsidRPr="007C432C">
              <w:rPr>
                <w:color w:val="1A1A1A"/>
                <w:sz w:val="20"/>
                <w:szCs w:val="20"/>
              </w:rPr>
              <w:t>Mocnik</w:t>
            </w:r>
            <w:proofErr w:type="spellEnd"/>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R</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R</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p>
        </w:tc>
      </w:tr>
      <w:tr w:rsidR="004B7144" w:rsidRPr="007C432C" w:rsidTr="004B7144">
        <w:tblPrEx>
          <w:tblBorders>
            <w:top w:val="none" w:sz="0" w:space="0" w:color="auto"/>
          </w:tblBorders>
        </w:tblPrEx>
        <w:tc>
          <w:tcPr>
            <w:tcW w:w="2538" w:type="dxa"/>
            <w:tcBorders>
              <w:left w:val="single" w:sz="8" w:space="0" w:color="000000"/>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rPr>
                <w:color w:val="1A1A1A"/>
                <w:sz w:val="20"/>
                <w:szCs w:val="20"/>
              </w:rPr>
            </w:pPr>
            <w:r w:rsidRPr="007C432C">
              <w:rPr>
                <w:color w:val="1A1A1A"/>
                <w:sz w:val="20"/>
                <w:szCs w:val="20"/>
              </w:rPr>
              <w:t xml:space="preserve">John </w:t>
            </w:r>
            <w:proofErr w:type="spellStart"/>
            <w:r w:rsidRPr="007C432C">
              <w:rPr>
                <w:color w:val="1A1A1A"/>
                <w:sz w:val="20"/>
                <w:szCs w:val="20"/>
              </w:rPr>
              <w:t>Swinton</w:t>
            </w:r>
            <w:proofErr w:type="spellEnd"/>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p>
        </w:tc>
      </w:tr>
      <w:tr w:rsidR="004B7144" w:rsidRPr="007C432C" w:rsidTr="004B7144">
        <w:tc>
          <w:tcPr>
            <w:tcW w:w="2538" w:type="dxa"/>
            <w:tcBorders>
              <w:left w:val="single" w:sz="8" w:space="0" w:color="000000"/>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rPr>
                <w:color w:val="1A1A1A"/>
                <w:sz w:val="20"/>
                <w:szCs w:val="20"/>
              </w:rPr>
            </w:pPr>
            <w:r w:rsidRPr="007C432C">
              <w:rPr>
                <w:color w:val="1A1A1A"/>
                <w:sz w:val="20"/>
                <w:szCs w:val="20"/>
              </w:rPr>
              <w:t>Susan Steele (Chair)</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R</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r w:rsidRPr="007C432C">
              <w:rPr>
                <w:color w:val="1A1A1A"/>
                <w:sz w:val="20"/>
                <w:szCs w:val="20"/>
              </w:rPr>
              <w:t>P</w:t>
            </w:r>
          </w:p>
        </w:tc>
        <w:tc>
          <w:tcPr>
            <w:tcW w:w="720" w:type="dxa"/>
            <w:tcBorders>
              <w:bottom w:val="single" w:sz="8" w:space="0" w:color="000000"/>
              <w:right w:val="single" w:sz="8" w:space="0" w:color="000000"/>
            </w:tcBorders>
            <w:tcMar>
              <w:top w:w="140" w:type="nil"/>
              <w:right w:w="140" w:type="nil"/>
            </w:tcMar>
          </w:tcPr>
          <w:p w:rsidR="004B7144" w:rsidRPr="007C432C" w:rsidRDefault="004B7144" w:rsidP="00C7656B">
            <w:pPr>
              <w:widowControl w:val="0"/>
              <w:autoSpaceDE w:val="0"/>
              <w:autoSpaceDN w:val="0"/>
              <w:adjustRightInd w:val="0"/>
              <w:jc w:val="center"/>
              <w:rPr>
                <w:color w:val="1A1A1A"/>
                <w:sz w:val="20"/>
                <w:szCs w:val="20"/>
              </w:rPr>
            </w:pPr>
          </w:p>
        </w:tc>
      </w:tr>
    </w:tbl>
    <w:p w:rsidR="00865BBB" w:rsidRDefault="00865BBB" w:rsidP="003258B3">
      <w:pPr>
        <w:spacing w:before="240" w:after="240"/>
        <w:rPr>
          <w:b/>
          <w:bCs/>
          <w:sz w:val="20"/>
          <w:szCs w:val="20"/>
        </w:rPr>
      </w:pPr>
      <w:r>
        <w:rPr>
          <w:b/>
          <w:bCs/>
          <w:sz w:val="20"/>
          <w:szCs w:val="20"/>
        </w:rPr>
        <w:t>Motions brought to the Senate floor:</w:t>
      </w:r>
    </w:p>
    <w:tbl>
      <w:tblPr>
        <w:tblStyle w:val="TableGrid"/>
        <w:tblW w:w="0" w:type="auto"/>
        <w:tblLook w:val="04A0" w:firstRow="1" w:lastRow="0" w:firstColumn="1" w:lastColumn="0" w:noHBand="0" w:noVBand="1"/>
      </w:tblPr>
      <w:tblGrid>
        <w:gridCol w:w="2358"/>
        <w:gridCol w:w="2598"/>
        <w:gridCol w:w="1812"/>
        <w:gridCol w:w="786"/>
        <w:gridCol w:w="2598"/>
      </w:tblGrid>
      <w:tr w:rsidR="003919ED" w:rsidTr="008363B7">
        <w:tc>
          <w:tcPr>
            <w:tcW w:w="2358" w:type="dxa"/>
          </w:tcPr>
          <w:p w:rsidR="003919ED" w:rsidRPr="003919ED" w:rsidRDefault="003919ED" w:rsidP="003258B3">
            <w:pPr>
              <w:rPr>
                <w:sz w:val="20"/>
                <w:szCs w:val="20"/>
              </w:rPr>
            </w:pPr>
            <w:r w:rsidRPr="003919ED">
              <w:rPr>
                <w:sz w:val="20"/>
                <w:szCs w:val="20"/>
              </w:rPr>
              <w:t>Motion #</w:t>
            </w:r>
          </w:p>
        </w:tc>
        <w:tc>
          <w:tcPr>
            <w:tcW w:w="7794" w:type="dxa"/>
            <w:gridSpan w:val="4"/>
          </w:tcPr>
          <w:p w:rsidR="003919ED" w:rsidRPr="003919ED" w:rsidRDefault="003919ED" w:rsidP="003258B3">
            <w:pPr>
              <w:rPr>
                <w:sz w:val="20"/>
                <w:szCs w:val="20"/>
              </w:rPr>
            </w:pPr>
            <w:r w:rsidRPr="003919ED">
              <w:rPr>
                <w:rStyle w:val="Strong"/>
                <w:b w:val="0"/>
                <w:sz w:val="20"/>
                <w:szCs w:val="20"/>
              </w:rPr>
              <w:t>1213.CAPC.007.C</w:t>
            </w:r>
          </w:p>
        </w:tc>
      </w:tr>
      <w:tr w:rsidR="003919ED" w:rsidTr="00197ACD">
        <w:tc>
          <w:tcPr>
            <w:tcW w:w="2358" w:type="dxa"/>
          </w:tcPr>
          <w:p w:rsidR="003919ED" w:rsidRPr="003919ED" w:rsidRDefault="003919ED" w:rsidP="003258B3">
            <w:pPr>
              <w:rPr>
                <w:sz w:val="20"/>
                <w:szCs w:val="20"/>
              </w:rPr>
            </w:pPr>
            <w:r w:rsidRPr="003919ED">
              <w:rPr>
                <w:sz w:val="20"/>
                <w:szCs w:val="20"/>
              </w:rPr>
              <w:t>Statement of Motion</w:t>
            </w:r>
          </w:p>
        </w:tc>
        <w:tc>
          <w:tcPr>
            <w:tcW w:w="7794" w:type="dxa"/>
            <w:gridSpan w:val="4"/>
          </w:tcPr>
          <w:p w:rsidR="003919ED" w:rsidRPr="003919ED" w:rsidRDefault="003919ED" w:rsidP="003258B3">
            <w:pPr>
              <w:rPr>
                <w:sz w:val="20"/>
                <w:szCs w:val="20"/>
              </w:rPr>
            </w:pPr>
            <w:r w:rsidRPr="003919ED">
              <w:rPr>
                <w:sz w:val="20"/>
                <w:szCs w:val="20"/>
              </w:rPr>
              <w:t>Approval of the MAT in Early Childhood Education</w:t>
            </w:r>
          </w:p>
        </w:tc>
      </w:tr>
      <w:tr w:rsidR="003258B3" w:rsidTr="003919ED">
        <w:tc>
          <w:tcPr>
            <w:tcW w:w="2358" w:type="dxa"/>
          </w:tcPr>
          <w:p w:rsidR="003258B3" w:rsidRPr="003919ED" w:rsidRDefault="003258B3" w:rsidP="003258B3">
            <w:pPr>
              <w:rPr>
                <w:sz w:val="20"/>
                <w:szCs w:val="20"/>
              </w:rPr>
            </w:pPr>
            <w:r w:rsidRPr="003919ED">
              <w:rPr>
                <w:sz w:val="20"/>
                <w:szCs w:val="20"/>
              </w:rPr>
              <w:t>Committee Vote</w:t>
            </w:r>
          </w:p>
        </w:tc>
        <w:tc>
          <w:tcPr>
            <w:tcW w:w="2598" w:type="dxa"/>
          </w:tcPr>
          <w:p w:rsidR="003258B3" w:rsidRPr="003919ED" w:rsidRDefault="003258B3" w:rsidP="003258B3">
            <w:pPr>
              <w:rPr>
                <w:sz w:val="20"/>
                <w:szCs w:val="20"/>
              </w:rPr>
            </w:pPr>
            <w:r w:rsidRPr="003919ED">
              <w:rPr>
                <w:sz w:val="20"/>
                <w:szCs w:val="20"/>
              </w:rPr>
              <w:t>Affirmative</w:t>
            </w:r>
            <w:r w:rsidR="003919ED" w:rsidRPr="003919ED">
              <w:rPr>
                <w:sz w:val="20"/>
                <w:szCs w:val="20"/>
              </w:rPr>
              <w:t>: 8</w:t>
            </w:r>
          </w:p>
        </w:tc>
        <w:tc>
          <w:tcPr>
            <w:tcW w:w="2598" w:type="dxa"/>
            <w:gridSpan w:val="2"/>
          </w:tcPr>
          <w:p w:rsidR="003258B3" w:rsidRPr="003919ED" w:rsidRDefault="003258B3" w:rsidP="003258B3">
            <w:pPr>
              <w:rPr>
                <w:sz w:val="20"/>
                <w:szCs w:val="20"/>
              </w:rPr>
            </w:pPr>
            <w:r w:rsidRPr="003919ED">
              <w:rPr>
                <w:sz w:val="20"/>
                <w:szCs w:val="20"/>
              </w:rPr>
              <w:t>Negative</w:t>
            </w:r>
            <w:r w:rsidR="003919ED" w:rsidRPr="003919ED">
              <w:rPr>
                <w:sz w:val="20"/>
                <w:szCs w:val="20"/>
              </w:rPr>
              <w:t>: 2</w:t>
            </w:r>
          </w:p>
        </w:tc>
        <w:tc>
          <w:tcPr>
            <w:tcW w:w="2598" w:type="dxa"/>
          </w:tcPr>
          <w:p w:rsidR="003258B3" w:rsidRPr="003919ED" w:rsidRDefault="003919ED" w:rsidP="003258B3">
            <w:pPr>
              <w:rPr>
                <w:sz w:val="20"/>
                <w:szCs w:val="20"/>
              </w:rPr>
            </w:pPr>
            <w:r w:rsidRPr="003919ED">
              <w:rPr>
                <w:sz w:val="20"/>
                <w:szCs w:val="20"/>
              </w:rPr>
              <w:t>Abstentions: 3</w:t>
            </w:r>
          </w:p>
        </w:tc>
      </w:tr>
      <w:tr w:rsidR="003258B3" w:rsidTr="003258B3">
        <w:tc>
          <w:tcPr>
            <w:tcW w:w="2358" w:type="dxa"/>
          </w:tcPr>
          <w:p w:rsidR="003258B3" w:rsidRPr="003919ED" w:rsidRDefault="003258B3" w:rsidP="003258B3">
            <w:pPr>
              <w:rPr>
                <w:sz w:val="20"/>
                <w:szCs w:val="20"/>
              </w:rPr>
            </w:pPr>
            <w:r w:rsidRPr="003919ED">
              <w:rPr>
                <w:sz w:val="20"/>
                <w:szCs w:val="20"/>
              </w:rPr>
              <w:t>Senate Action</w:t>
            </w:r>
          </w:p>
        </w:tc>
        <w:tc>
          <w:tcPr>
            <w:tcW w:w="4410" w:type="dxa"/>
            <w:gridSpan w:val="2"/>
          </w:tcPr>
          <w:p w:rsidR="003258B3" w:rsidRPr="003919ED" w:rsidRDefault="003919ED" w:rsidP="003258B3">
            <w:pPr>
              <w:rPr>
                <w:sz w:val="20"/>
                <w:szCs w:val="20"/>
              </w:rPr>
            </w:pPr>
            <w:r w:rsidRPr="003919ED">
              <w:rPr>
                <w:sz w:val="20"/>
                <w:szCs w:val="20"/>
              </w:rPr>
              <w:t>Approved</w:t>
            </w:r>
          </w:p>
        </w:tc>
        <w:tc>
          <w:tcPr>
            <w:tcW w:w="3384" w:type="dxa"/>
            <w:gridSpan w:val="2"/>
          </w:tcPr>
          <w:p w:rsidR="003258B3" w:rsidRPr="003919ED" w:rsidRDefault="003258B3" w:rsidP="003919ED">
            <w:pPr>
              <w:rPr>
                <w:sz w:val="20"/>
                <w:szCs w:val="20"/>
              </w:rPr>
            </w:pPr>
            <w:r w:rsidRPr="003919ED">
              <w:rPr>
                <w:sz w:val="20"/>
                <w:szCs w:val="20"/>
              </w:rPr>
              <w:t>Date:</w:t>
            </w:r>
            <w:r w:rsidR="003919ED" w:rsidRPr="003919ED">
              <w:rPr>
                <w:sz w:val="20"/>
                <w:szCs w:val="20"/>
              </w:rPr>
              <w:t xml:space="preserve"> 3/</w:t>
            </w:r>
            <w:r w:rsidR="003919ED">
              <w:rPr>
                <w:sz w:val="20"/>
                <w:szCs w:val="20"/>
              </w:rPr>
              <w:t>12</w:t>
            </w:r>
            <w:r w:rsidR="003919ED" w:rsidRPr="003919ED">
              <w:rPr>
                <w:sz w:val="20"/>
                <w:szCs w:val="20"/>
              </w:rPr>
              <w:t>/2013</w:t>
            </w:r>
          </w:p>
        </w:tc>
      </w:tr>
    </w:tbl>
    <w:p w:rsidR="003919ED" w:rsidRDefault="003919ED"/>
    <w:tbl>
      <w:tblPr>
        <w:tblStyle w:val="TableGrid"/>
        <w:tblW w:w="10188" w:type="dxa"/>
        <w:tblLook w:val="04A0" w:firstRow="1" w:lastRow="0" w:firstColumn="1" w:lastColumn="0" w:noHBand="0" w:noVBand="1"/>
      </w:tblPr>
      <w:tblGrid>
        <w:gridCol w:w="1763"/>
        <w:gridCol w:w="2808"/>
        <w:gridCol w:w="1595"/>
        <w:gridCol w:w="1213"/>
        <w:gridCol w:w="2809"/>
      </w:tblGrid>
      <w:tr w:rsidR="00AB35F5" w:rsidRPr="00AB35F5" w:rsidTr="00AB35F5">
        <w:tc>
          <w:tcPr>
            <w:tcW w:w="1763" w:type="dxa"/>
          </w:tcPr>
          <w:p w:rsidR="00AB35F5" w:rsidRPr="003919ED" w:rsidRDefault="00AB35F5" w:rsidP="00C7656B">
            <w:pPr>
              <w:rPr>
                <w:sz w:val="20"/>
                <w:szCs w:val="20"/>
              </w:rPr>
            </w:pPr>
            <w:r w:rsidRPr="003919ED">
              <w:rPr>
                <w:sz w:val="20"/>
                <w:szCs w:val="20"/>
              </w:rPr>
              <w:t>Motion #</w:t>
            </w:r>
          </w:p>
        </w:tc>
        <w:tc>
          <w:tcPr>
            <w:tcW w:w="8425" w:type="dxa"/>
            <w:gridSpan w:val="4"/>
          </w:tcPr>
          <w:p w:rsidR="00AB35F5" w:rsidRPr="00AB35F5" w:rsidRDefault="00AB35F5" w:rsidP="00C7656B">
            <w:pPr>
              <w:rPr>
                <w:b/>
                <w:sz w:val="20"/>
                <w:szCs w:val="20"/>
              </w:rPr>
            </w:pPr>
            <w:r w:rsidRPr="00AB35F5">
              <w:rPr>
                <w:rStyle w:val="Strong"/>
                <w:b w:val="0"/>
                <w:sz w:val="20"/>
                <w:szCs w:val="20"/>
              </w:rPr>
              <w:t>1213.CAPC.006.C</w:t>
            </w:r>
            <w:r w:rsidRPr="00AB35F5">
              <w:rPr>
                <w:b/>
                <w:bCs/>
                <w:sz w:val="20"/>
                <w:szCs w:val="20"/>
              </w:rPr>
              <w:t xml:space="preserve"> - </w:t>
            </w:r>
            <w:r w:rsidRPr="00AB35F5">
              <w:rPr>
                <w:rStyle w:val="Strong"/>
                <w:b w:val="0"/>
                <w:sz w:val="20"/>
                <w:szCs w:val="20"/>
              </w:rPr>
              <w:t>Post-Masters Certificate for Family Nurse Practitioner</w:t>
            </w:r>
          </w:p>
        </w:tc>
      </w:tr>
      <w:tr w:rsidR="00AB35F5" w:rsidRPr="00AB35F5" w:rsidTr="00AB35F5">
        <w:tc>
          <w:tcPr>
            <w:tcW w:w="1763" w:type="dxa"/>
          </w:tcPr>
          <w:p w:rsidR="00AB35F5" w:rsidRPr="003919ED" w:rsidRDefault="00AB35F5" w:rsidP="00C7656B">
            <w:pPr>
              <w:rPr>
                <w:sz w:val="20"/>
                <w:szCs w:val="20"/>
              </w:rPr>
            </w:pPr>
            <w:r w:rsidRPr="003919ED">
              <w:rPr>
                <w:sz w:val="20"/>
                <w:szCs w:val="20"/>
              </w:rPr>
              <w:t>Statement of Motion</w:t>
            </w:r>
          </w:p>
        </w:tc>
        <w:tc>
          <w:tcPr>
            <w:tcW w:w="8425" w:type="dxa"/>
            <w:gridSpan w:val="4"/>
          </w:tcPr>
          <w:p w:rsidR="00AB35F5" w:rsidRPr="00AB35F5" w:rsidRDefault="00AB35F5" w:rsidP="00C7656B">
            <w:pPr>
              <w:rPr>
                <w:sz w:val="20"/>
                <w:szCs w:val="20"/>
              </w:rPr>
            </w:pPr>
            <w:r w:rsidRPr="00AB35F5">
              <w:rPr>
                <w:sz w:val="20"/>
                <w:szCs w:val="20"/>
              </w:rPr>
              <w:t>Approve creation of a Post-Master's certificate for Family Nurse Practitioner to be designated on the graduate's transcript</w:t>
            </w:r>
          </w:p>
        </w:tc>
      </w:tr>
      <w:tr w:rsidR="00AB35F5" w:rsidRPr="003919ED" w:rsidTr="00AB35F5">
        <w:tc>
          <w:tcPr>
            <w:tcW w:w="1763" w:type="dxa"/>
          </w:tcPr>
          <w:p w:rsidR="00AB35F5" w:rsidRPr="003919ED" w:rsidRDefault="00AB35F5" w:rsidP="00C7656B">
            <w:pPr>
              <w:rPr>
                <w:sz w:val="20"/>
                <w:szCs w:val="20"/>
              </w:rPr>
            </w:pPr>
            <w:r w:rsidRPr="003919ED">
              <w:rPr>
                <w:sz w:val="20"/>
                <w:szCs w:val="20"/>
              </w:rPr>
              <w:t>Committee Vote</w:t>
            </w:r>
          </w:p>
        </w:tc>
        <w:tc>
          <w:tcPr>
            <w:tcW w:w="2808" w:type="dxa"/>
          </w:tcPr>
          <w:p w:rsidR="00AB35F5" w:rsidRPr="003919ED" w:rsidRDefault="00AB35F5" w:rsidP="00C7656B">
            <w:pPr>
              <w:rPr>
                <w:sz w:val="20"/>
                <w:szCs w:val="20"/>
              </w:rPr>
            </w:pPr>
            <w:r w:rsidRPr="003919ED">
              <w:rPr>
                <w:sz w:val="20"/>
                <w:szCs w:val="20"/>
              </w:rPr>
              <w:t xml:space="preserve">Affirmative: </w:t>
            </w:r>
          </w:p>
        </w:tc>
        <w:tc>
          <w:tcPr>
            <w:tcW w:w="2808" w:type="dxa"/>
            <w:gridSpan w:val="2"/>
          </w:tcPr>
          <w:p w:rsidR="00AB35F5" w:rsidRPr="003919ED" w:rsidRDefault="00AB35F5" w:rsidP="00C7656B">
            <w:pPr>
              <w:rPr>
                <w:sz w:val="20"/>
                <w:szCs w:val="20"/>
              </w:rPr>
            </w:pPr>
            <w:r w:rsidRPr="003919ED">
              <w:rPr>
                <w:sz w:val="20"/>
                <w:szCs w:val="20"/>
              </w:rPr>
              <w:t xml:space="preserve">Negative: </w:t>
            </w:r>
          </w:p>
        </w:tc>
        <w:tc>
          <w:tcPr>
            <w:tcW w:w="2809" w:type="dxa"/>
          </w:tcPr>
          <w:p w:rsidR="00AB35F5" w:rsidRPr="003919ED" w:rsidRDefault="00AB35F5" w:rsidP="00C7656B">
            <w:pPr>
              <w:rPr>
                <w:sz w:val="20"/>
                <w:szCs w:val="20"/>
              </w:rPr>
            </w:pPr>
            <w:r w:rsidRPr="003919ED">
              <w:rPr>
                <w:sz w:val="20"/>
                <w:szCs w:val="20"/>
              </w:rPr>
              <w:t xml:space="preserve">Abstentions: </w:t>
            </w:r>
          </w:p>
        </w:tc>
      </w:tr>
      <w:tr w:rsidR="00AB35F5" w:rsidRPr="003919ED" w:rsidTr="00AB35F5">
        <w:tc>
          <w:tcPr>
            <w:tcW w:w="1763" w:type="dxa"/>
          </w:tcPr>
          <w:p w:rsidR="00AB35F5" w:rsidRPr="003919ED" w:rsidRDefault="00AB35F5" w:rsidP="00C7656B">
            <w:pPr>
              <w:rPr>
                <w:sz w:val="20"/>
                <w:szCs w:val="20"/>
              </w:rPr>
            </w:pPr>
            <w:r w:rsidRPr="003919ED">
              <w:rPr>
                <w:sz w:val="20"/>
                <w:szCs w:val="20"/>
              </w:rPr>
              <w:t>Senate Action</w:t>
            </w:r>
          </w:p>
        </w:tc>
        <w:tc>
          <w:tcPr>
            <w:tcW w:w="4403" w:type="dxa"/>
            <w:gridSpan w:val="2"/>
          </w:tcPr>
          <w:p w:rsidR="00AB35F5" w:rsidRPr="003919ED" w:rsidRDefault="00AB35F5" w:rsidP="00C7656B">
            <w:pPr>
              <w:rPr>
                <w:sz w:val="20"/>
                <w:szCs w:val="20"/>
              </w:rPr>
            </w:pPr>
            <w:r w:rsidRPr="003919ED">
              <w:rPr>
                <w:sz w:val="20"/>
                <w:szCs w:val="20"/>
              </w:rPr>
              <w:t>Approved</w:t>
            </w:r>
          </w:p>
        </w:tc>
        <w:tc>
          <w:tcPr>
            <w:tcW w:w="4022" w:type="dxa"/>
            <w:gridSpan w:val="2"/>
          </w:tcPr>
          <w:p w:rsidR="00AB35F5" w:rsidRPr="003919ED" w:rsidRDefault="00AB35F5" w:rsidP="00C7656B">
            <w:pPr>
              <w:rPr>
                <w:sz w:val="20"/>
                <w:szCs w:val="20"/>
              </w:rPr>
            </w:pPr>
            <w:r w:rsidRPr="003919ED">
              <w:rPr>
                <w:sz w:val="20"/>
                <w:szCs w:val="20"/>
              </w:rPr>
              <w:t xml:space="preserve">Date: </w:t>
            </w:r>
            <w:r>
              <w:rPr>
                <w:sz w:val="20"/>
                <w:szCs w:val="20"/>
              </w:rPr>
              <w:t>1/28/2013</w:t>
            </w:r>
          </w:p>
        </w:tc>
      </w:tr>
    </w:tbl>
    <w:p w:rsidR="00AB35F5" w:rsidRDefault="00AB35F5"/>
    <w:tbl>
      <w:tblPr>
        <w:tblStyle w:val="TableGrid"/>
        <w:tblW w:w="10188" w:type="dxa"/>
        <w:tblLook w:val="04A0" w:firstRow="1" w:lastRow="0" w:firstColumn="1" w:lastColumn="0" w:noHBand="0" w:noVBand="1"/>
      </w:tblPr>
      <w:tblGrid>
        <w:gridCol w:w="1855"/>
        <w:gridCol w:w="2777"/>
        <w:gridCol w:w="2778"/>
        <w:gridCol w:w="2778"/>
      </w:tblGrid>
      <w:tr w:rsidR="003919ED" w:rsidRPr="003919ED" w:rsidTr="00AB35F5">
        <w:tc>
          <w:tcPr>
            <w:tcW w:w="1855" w:type="dxa"/>
          </w:tcPr>
          <w:p w:rsidR="003919ED" w:rsidRPr="003919ED" w:rsidRDefault="003919ED" w:rsidP="00C7656B">
            <w:pPr>
              <w:rPr>
                <w:sz w:val="20"/>
                <w:szCs w:val="20"/>
              </w:rPr>
            </w:pPr>
            <w:r w:rsidRPr="003919ED">
              <w:rPr>
                <w:sz w:val="20"/>
                <w:szCs w:val="20"/>
              </w:rPr>
              <w:t>Motion #</w:t>
            </w:r>
          </w:p>
        </w:tc>
        <w:tc>
          <w:tcPr>
            <w:tcW w:w="8333" w:type="dxa"/>
            <w:gridSpan w:val="3"/>
          </w:tcPr>
          <w:p w:rsidR="003919ED" w:rsidRPr="00D27990" w:rsidRDefault="00D27990" w:rsidP="00C7656B">
            <w:pPr>
              <w:rPr>
                <w:b/>
                <w:sz w:val="20"/>
                <w:szCs w:val="20"/>
              </w:rPr>
            </w:pPr>
            <w:r w:rsidRPr="00D27990">
              <w:rPr>
                <w:rStyle w:val="Strong"/>
                <w:b w:val="0"/>
                <w:sz w:val="20"/>
                <w:szCs w:val="20"/>
              </w:rPr>
              <w:t>1213.CAPC.005.C Kinesiology Minor Name Change</w:t>
            </w:r>
          </w:p>
        </w:tc>
      </w:tr>
      <w:tr w:rsidR="003919ED" w:rsidRPr="003919ED" w:rsidTr="00AB35F5">
        <w:tc>
          <w:tcPr>
            <w:tcW w:w="1855" w:type="dxa"/>
          </w:tcPr>
          <w:p w:rsidR="003919ED" w:rsidRPr="003919ED" w:rsidRDefault="003919ED" w:rsidP="00C7656B">
            <w:pPr>
              <w:rPr>
                <w:sz w:val="20"/>
                <w:szCs w:val="20"/>
              </w:rPr>
            </w:pPr>
            <w:r w:rsidRPr="003919ED">
              <w:rPr>
                <w:sz w:val="20"/>
                <w:szCs w:val="20"/>
              </w:rPr>
              <w:t>Statement of Motion</w:t>
            </w:r>
          </w:p>
        </w:tc>
        <w:tc>
          <w:tcPr>
            <w:tcW w:w="8333" w:type="dxa"/>
            <w:gridSpan w:val="3"/>
          </w:tcPr>
          <w:p w:rsidR="003919ED" w:rsidRPr="003919ED" w:rsidRDefault="00D27990" w:rsidP="00C7656B">
            <w:pPr>
              <w:rPr>
                <w:sz w:val="20"/>
                <w:szCs w:val="20"/>
              </w:rPr>
            </w:pPr>
            <w:r>
              <w:rPr>
                <w:sz w:val="20"/>
                <w:szCs w:val="20"/>
              </w:rPr>
              <w:t xml:space="preserve">Approve change of </w:t>
            </w:r>
            <w:proofErr w:type="gramStart"/>
            <w:r>
              <w:rPr>
                <w:sz w:val="20"/>
                <w:szCs w:val="20"/>
              </w:rPr>
              <w:t>Kinesiology  minor</w:t>
            </w:r>
            <w:proofErr w:type="gramEnd"/>
            <w:r>
              <w:rPr>
                <w:sz w:val="20"/>
                <w:szCs w:val="20"/>
              </w:rPr>
              <w:t xml:space="preserve"> name change from “Health Education” to “Community Health”.</w:t>
            </w:r>
          </w:p>
        </w:tc>
      </w:tr>
      <w:tr w:rsidR="003919ED" w:rsidRPr="003919ED" w:rsidTr="00AB35F5">
        <w:tc>
          <w:tcPr>
            <w:tcW w:w="1855" w:type="dxa"/>
          </w:tcPr>
          <w:p w:rsidR="003919ED" w:rsidRPr="003919ED" w:rsidRDefault="003919ED" w:rsidP="00C7656B">
            <w:pPr>
              <w:rPr>
                <w:sz w:val="20"/>
                <w:szCs w:val="20"/>
              </w:rPr>
            </w:pPr>
            <w:r w:rsidRPr="003919ED">
              <w:rPr>
                <w:sz w:val="20"/>
                <w:szCs w:val="20"/>
              </w:rPr>
              <w:t>Committee Vote</w:t>
            </w:r>
          </w:p>
        </w:tc>
        <w:tc>
          <w:tcPr>
            <w:tcW w:w="2777" w:type="dxa"/>
          </w:tcPr>
          <w:p w:rsidR="003919ED" w:rsidRPr="003919ED" w:rsidRDefault="003919ED" w:rsidP="003919ED">
            <w:pPr>
              <w:rPr>
                <w:sz w:val="20"/>
                <w:szCs w:val="20"/>
              </w:rPr>
            </w:pPr>
            <w:r w:rsidRPr="003919ED">
              <w:rPr>
                <w:sz w:val="20"/>
                <w:szCs w:val="20"/>
              </w:rPr>
              <w:t>Affirmative:</w:t>
            </w:r>
          </w:p>
        </w:tc>
        <w:tc>
          <w:tcPr>
            <w:tcW w:w="2778" w:type="dxa"/>
          </w:tcPr>
          <w:p w:rsidR="003919ED" w:rsidRPr="003919ED" w:rsidRDefault="003919ED" w:rsidP="003919ED">
            <w:pPr>
              <w:rPr>
                <w:sz w:val="20"/>
                <w:szCs w:val="20"/>
              </w:rPr>
            </w:pPr>
            <w:r w:rsidRPr="003919ED">
              <w:rPr>
                <w:sz w:val="20"/>
                <w:szCs w:val="20"/>
              </w:rPr>
              <w:t xml:space="preserve">Negative: </w:t>
            </w:r>
          </w:p>
        </w:tc>
        <w:tc>
          <w:tcPr>
            <w:tcW w:w="2778" w:type="dxa"/>
          </w:tcPr>
          <w:p w:rsidR="003919ED" w:rsidRPr="003919ED" w:rsidRDefault="003919ED" w:rsidP="003919ED">
            <w:pPr>
              <w:rPr>
                <w:sz w:val="20"/>
                <w:szCs w:val="20"/>
              </w:rPr>
            </w:pPr>
            <w:r w:rsidRPr="003919ED">
              <w:rPr>
                <w:sz w:val="20"/>
                <w:szCs w:val="20"/>
              </w:rPr>
              <w:t xml:space="preserve">Abstentions: </w:t>
            </w:r>
          </w:p>
        </w:tc>
      </w:tr>
      <w:tr w:rsidR="003919ED" w:rsidRPr="003919ED" w:rsidTr="00AB35F5">
        <w:tc>
          <w:tcPr>
            <w:tcW w:w="1855" w:type="dxa"/>
          </w:tcPr>
          <w:p w:rsidR="003919ED" w:rsidRPr="003919ED" w:rsidRDefault="003919ED" w:rsidP="00C7656B">
            <w:pPr>
              <w:rPr>
                <w:sz w:val="20"/>
                <w:szCs w:val="20"/>
              </w:rPr>
            </w:pPr>
            <w:r w:rsidRPr="003919ED">
              <w:rPr>
                <w:sz w:val="20"/>
                <w:szCs w:val="20"/>
              </w:rPr>
              <w:t>Senate Action</w:t>
            </w:r>
          </w:p>
        </w:tc>
        <w:tc>
          <w:tcPr>
            <w:tcW w:w="5555" w:type="dxa"/>
            <w:gridSpan w:val="2"/>
          </w:tcPr>
          <w:p w:rsidR="003919ED" w:rsidRPr="003919ED" w:rsidRDefault="003919ED" w:rsidP="00C7656B">
            <w:pPr>
              <w:rPr>
                <w:sz w:val="20"/>
                <w:szCs w:val="20"/>
              </w:rPr>
            </w:pPr>
            <w:r w:rsidRPr="003919ED">
              <w:rPr>
                <w:sz w:val="20"/>
                <w:szCs w:val="20"/>
              </w:rPr>
              <w:t>Approved</w:t>
            </w:r>
          </w:p>
        </w:tc>
        <w:tc>
          <w:tcPr>
            <w:tcW w:w="2778" w:type="dxa"/>
          </w:tcPr>
          <w:p w:rsidR="003919ED" w:rsidRPr="003919ED" w:rsidRDefault="003919ED" w:rsidP="003919ED">
            <w:pPr>
              <w:rPr>
                <w:sz w:val="20"/>
                <w:szCs w:val="20"/>
              </w:rPr>
            </w:pPr>
            <w:r w:rsidRPr="003919ED">
              <w:rPr>
                <w:sz w:val="20"/>
                <w:szCs w:val="20"/>
              </w:rPr>
              <w:t xml:space="preserve">Date: </w:t>
            </w:r>
            <w:r w:rsidR="00AB35F5">
              <w:rPr>
                <w:sz w:val="20"/>
                <w:szCs w:val="20"/>
              </w:rPr>
              <w:t>1/28/2013</w:t>
            </w:r>
          </w:p>
        </w:tc>
      </w:tr>
    </w:tbl>
    <w:p w:rsidR="003919ED" w:rsidRDefault="003919ED" w:rsidP="00B421E3"/>
    <w:tbl>
      <w:tblPr>
        <w:tblStyle w:val="TableGrid"/>
        <w:tblW w:w="0" w:type="auto"/>
        <w:tblLook w:val="04A0" w:firstRow="1" w:lastRow="0" w:firstColumn="1" w:lastColumn="0" w:noHBand="0" w:noVBand="1"/>
      </w:tblPr>
      <w:tblGrid>
        <w:gridCol w:w="2358"/>
        <w:gridCol w:w="2598"/>
        <w:gridCol w:w="1812"/>
        <w:gridCol w:w="786"/>
        <w:gridCol w:w="2598"/>
      </w:tblGrid>
      <w:tr w:rsidR="003919ED" w:rsidRPr="003919ED" w:rsidTr="00C7656B">
        <w:tc>
          <w:tcPr>
            <w:tcW w:w="2358" w:type="dxa"/>
          </w:tcPr>
          <w:p w:rsidR="003919ED" w:rsidRPr="003919ED" w:rsidRDefault="003919ED" w:rsidP="00C7656B">
            <w:pPr>
              <w:rPr>
                <w:sz w:val="20"/>
                <w:szCs w:val="20"/>
              </w:rPr>
            </w:pPr>
            <w:r w:rsidRPr="003919ED">
              <w:rPr>
                <w:sz w:val="20"/>
                <w:szCs w:val="20"/>
              </w:rPr>
              <w:t>Motion #</w:t>
            </w:r>
          </w:p>
        </w:tc>
        <w:tc>
          <w:tcPr>
            <w:tcW w:w="7794" w:type="dxa"/>
            <w:gridSpan w:val="4"/>
          </w:tcPr>
          <w:p w:rsidR="003919ED" w:rsidRPr="00AB35F5" w:rsidRDefault="00AB35F5" w:rsidP="00C7656B">
            <w:pPr>
              <w:rPr>
                <w:b/>
                <w:sz w:val="20"/>
                <w:szCs w:val="20"/>
              </w:rPr>
            </w:pPr>
            <w:r w:rsidRPr="00AB35F5">
              <w:rPr>
                <w:rStyle w:val="Strong"/>
                <w:b w:val="0"/>
                <w:sz w:val="20"/>
                <w:szCs w:val="20"/>
              </w:rPr>
              <w:t>1213.CAPC.004.C</w:t>
            </w:r>
            <w:r w:rsidRPr="00AB35F5">
              <w:rPr>
                <w:b/>
                <w:bCs/>
                <w:sz w:val="20"/>
                <w:szCs w:val="20"/>
              </w:rPr>
              <w:t xml:space="preserve"> - </w:t>
            </w:r>
            <w:r w:rsidRPr="00AB35F5">
              <w:rPr>
                <w:rStyle w:val="Strong"/>
                <w:b w:val="0"/>
                <w:sz w:val="20"/>
                <w:szCs w:val="20"/>
              </w:rPr>
              <w:t>Revision of Global Perspectives overlay requirement in core curriculum</w:t>
            </w:r>
          </w:p>
        </w:tc>
      </w:tr>
      <w:tr w:rsidR="003919ED" w:rsidRPr="003919ED" w:rsidTr="00C7656B">
        <w:tc>
          <w:tcPr>
            <w:tcW w:w="2358" w:type="dxa"/>
          </w:tcPr>
          <w:p w:rsidR="003919ED" w:rsidRPr="003919ED" w:rsidRDefault="003919ED" w:rsidP="00C7656B">
            <w:pPr>
              <w:rPr>
                <w:sz w:val="20"/>
                <w:szCs w:val="20"/>
              </w:rPr>
            </w:pPr>
            <w:r w:rsidRPr="003919ED">
              <w:rPr>
                <w:sz w:val="20"/>
                <w:szCs w:val="20"/>
              </w:rPr>
              <w:t>Statement of Motion</w:t>
            </w:r>
          </w:p>
        </w:tc>
        <w:tc>
          <w:tcPr>
            <w:tcW w:w="7794" w:type="dxa"/>
            <w:gridSpan w:val="4"/>
          </w:tcPr>
          <w:p w:rsidR="00F31611" w:rsidRPr="00F31611" w:rsidRDefault="00F31611" w:rsidP="00F31611">
            <w:pPr>
              <w:jc w:val="both"/>
              <w:rPr>
                <w:sz w:val="20"/>
                <w:szCs w:val="20"/>
              </w:rPr>
            </w:pPr>
            <w:r w:rsidRPr="00F31611">
              <w:rPr>
                <w:sz w:val="20"/>
                <w:szCs w:val="20"/>
              </w:rPr>
              <w:t>To change the Global Perspectives (GL) overlay requirement in the core curriculum in the undergraduate catalog from:</w:t>
            </w:r>
          </w:p>
          <w:p w:rsidR="00F31611" w:rsidRPr="00F31611" w:rsidRDefault="00F31611" w:rsidP="00F31611">
            <w:pPr>
              <w:jc w:val="both"/>
              <w:rPr>
                <w:sz w:val="20"/>
                <w:szCs w:val="20"/>
              </w:rPr>
            </w:pPr>
            <w:r w:rsidRPr="00F31611">
              <w:rPr>
                <w:sz w:val="20"/>
                <w:szCs w:val="20"/>
              </w:rPr>
              <w:t>"Two exposures must be completed in the core; the remaining exposure may be completed in any part of a student's curriculum."</w:t>
            </w:r>
          </w:p>
          <w:p w:rsidR="00F31611" w:rsidRPr="00F31611" w:rsidRDefault="00F31611" w:rsidP="00F31611">
            <w:pPr>
              <w:jc w:val="both"/>
              <w:rPr>
                <w:sz w:val="20"/>
                <w:szCs w:val="20"/>
              </w:rPr>
            </w:pPr>
            <w:r w:rsidRPr="00F31611">
              <w:rPr>
                <w:sz w:val="20"/>
                <w:szCs w:val="20"/>
              </w:rPr>
              <w:t>to read as:</w:t>
            </w:r>
          </w:p>
          <w:p w:rsidR="003919ED" w:rsidRDefault="00F31611" w:rsidP="00F31611">
            <w:pPr>
              <w:jc w:val="both"/>
              <w:rPr>
                <w:sz w:val="20"/>
                <w:szCs w:val="20"/>
              </w:rPr>
            </w:pPr>
            <w:r w:rsidRPr="00F31611">
              <w:rPr>
                <w:sz w:val="20"/>
                <w:szCs w:val="20"/>
              </w:rPr>
              <w:t>"Students are required to complete three exposures with the global overlay, at least one of which must be completed as part of the student’s core curriculum."</w:t>
            </w:r>
          </w:p>
          <w:p w:rsidR="00F31611" w:rsidRPr="00F31611" w:rsidRDefault="00F31611" w:rsidP="00F31611">
            <w:pPr>
              <w:jc w:val="both"/>
              <w:rPr>
                <w:sz w:val="20"/>
                <w:szCs w:val="20"/>
              </w:rPr>
            </w:pPr>
            <w:r>
              <w:rPr>
                <w:sz w:val="20"/>
                <w:szCs w:val="20"/>
              </w:rPr>
              <w:t>NOTE: this is the final motion format as amended and passed by the Senate.</w:t>
            </w:r>
          </w:p>
        </w:tc>
      </w:tr>
      <w:tr w:rsidR="003919ED" w:rsidRPr="003919ED" w:rsidTr="00C7656B">
        <w:tc>
          <w:tcPr>
            <w:tcW w:w="2358" w:type="dxa"/>
          </w:tcPr>
          <w:p w:rsidR="003919ED" w:rsidRPr="003919ED" w:rsidRDefault="003919ED" w:rsidP="00C7656B">
            <w:pPr>
              <w:rPr>
                <w:sz w:val="20"/>
                <w:szCs w:val="20"/>
              </w:rPr>
            </w:pPr>
            <w:r w:rsidRPr="003919ED">
              <w:rPr>
                <w:sz w:val="20"/>
                <w:szCs w:val="20"/>
              </w:rPr>
              <w:t>Committee Vote</w:t>
            </w:r>
          </w:p>
        </w:tc>
        <w:tc>
          <w:tcPr>
            <w:tcW w:w="2598" w:type="dxa"/>
          </w:tcPr>
          <w:p w:rsidR="003919ED" w:rsidRPr="003919ED" w:rsidRDefault="003919ED" w:rsidP="003919ED">
            <w:pPr>
              <w:rPr>
                <w:sz w:val="20"/>
                <w:szCs w:val="20"/>
              </w:rPr>
            </w:pPr>
            <w:r w:rsidRPr="003919ED">
              <w:rPr>
                <w:sz w:val="20"/>
                <w:szCs w:val="20"/>
              </w:rPr>
              <w:t xml:space="preserve">Affirmative: </w:t>
            </w:r>
          </w:p>
        </w:tc>
        <w:tc>
          <w:tcPr>
            <w:tcW w:w="2598" w:type="dxa"/>
            <w:gridSpan w:val="2"/>
          </w:tcPr>
          <w:p w:rsidR="003919ED" w:rsidRPr="003919ED" w:rsidRDefault="003919ED" w:rsidP="003919ED">
            <w:pPr>
              <w:rPr>
                <w:sz w:val="20"/>
                <w:szCs w:val="20"/>
              </w:rPr>
            </w:pPr>
            <w:r w:rsidRPr="003919ED">
              <w:rPr>
                <w:sz w:val="20"/>
                <w:szCs w:val="20"/>
              </w:rPr>
              <w:t xml:space="preserve">Negative: </w:t>
            </w:r>
          </w:p>
        </w:tc>
        <w:tc>
          <w:tcPr>
            <w:tcW w:w="2598" w:type="dxa"/>
          </w:tcPr>
          <w:p w:rsidR="003919ED" w:rsidRPr="003919ED" w:rsidRDefault="003919ED" w:rsidP="003919ED">
            <w:pPr>
              <w:rPr>
                <w:sz w:val="20"/>
                <w:szCs w:val="20"/>
              </w:rPr>
            </w:pPr>
            <w:r w:rsidRPr="003919ED">
              <w:rPr>
                <w:sz w:val="20"/>
                <w:szCs w:val="20"/>
              </w:rPr>
              <w:t xml:space="preserve">Abstentions: </w:t>
            </w:r>
          </w:p>
        </w:tc>
      </w:tr>
      <w:tr w:rsidR="003919ED" w:rsidRPr="003919ED" w:rsidTr="00C7656B">
        <w:tc>
          <w:tcPr>
            <w:tcW w:w="2358" w:type="dxa"/>
          </w:tcPr>
          <w:p w:rsidR="003919ED" w:rsidRPr="003919ED" w:rsidRDefault="003919ED" w:rsidP="00C7656B">
            <w:pPr>
              <w:rPr>
                <w:sz w:val="20"/>
                <w:szCs w:val="20"/>
              </w:rPr>
            </w:pPr>
            <w:r w:rsidRPr="003919ED">
              <w:rPr>
                <w:sz w:val="20"/>
                <w:szCs w:val="20"/>
              </w:rPr>
              <w:t>Senate Action</w:t>
            </w:r>
          </w:p>
        </w:tc>
        <w:tc>
          <w:tcPr>
            <w:tcW w:w="4410" w:type="dxa"/>
            <w:gridSpan w:val="2"/>
          </w:tcPr>
          <w:p w:rsidR="003919ED" w:rsidRPr="003919ED" w:rsidRDefault="003919ED" w:rsidP="00C7656B">
            <w:pPr>
              <w:rPr>
                <w:sz w:val="20"/>
                <w:szCs w:val="20"/>
              </w:rPr>
            </w:pPr>
            <w:r w:rsidRPr="003919ED">
              <w:rPr>
                <w:sz w:val="20"/>
                <w:szCs w:val="20"/>
              </w:rPr>
              <w:t>Approved</w:t>
            </w:r>
          </w:p>
        </w:tc>
        <w:tc>
          <w:tcPr>
            <w:tcW w:w="3384" w:type="dxa"/>
            <w:gridSpan w:val="2"/>
          </w:tcPr>
          <w:p w:rsidR="003919ED" w:rsidRPr="003919ED" w:rsidRDefault="003919ED" w:rsidP="00F31611">
            <w:pPr>
              <w:rPr>
                <w:sz w:val="20"/>
                <w:szCs w:val="20"/>
              </w:rPr>
            </w:pPr>
            <w:r w:rsidRPr="003919ED">
              <w:rPr>
                <w:sz w:val="20"/>
                <w:szCs w:val="20"/>
              </w:rPr>
              <w:t xml:space="preserve">Date: </w:t>
            </w:r>
            <w:r w:rsidR="008031F8">
              <w:rPr>
                <w:sz w:val="20"/>
                <w:szCs w:val="20"/>
              </w:rPr>
              <w:t>11/</w:t>
            </w:r>
            <w:r w:rsidR="00F31611">
              <w:rPr>
                <w:sz w:val="20"/>
                <w:szCs w:val="20"/>
              </w:rPr>
              <w:t>16</w:t>
            </w:r>
            <w:r w:rsidR="008031F8">
              <w:rPr>
                <w:sz w:val="20"/>
                <w:szCs w:val="20"/>
              </w:rPr>
              <w:t>/2012</w:t>
            </w:r>
          </w:p>
        </w:tc>
      </w:tr>
    </w:tbl>
    <w:p w:rsidR="00C64743" w:rsidRDefault="00C64743">
      <w:pPr>
        <w:sectPr w:rsidR="00C64743" w:rsidSect="005844EC">
          <w:pgSz w:w="12240" w:h="15840"/>
          <w:pgMar w:top="1152" w:right="1152" w:bottom="1152" w:left="1152" w:header="720" w:footer="720" w:gutter="0"/>
          <w:cols w:space="720"/>
          <w:docGrid w:linePitch="360"/>
        </w:sectPr>
      </w:pPr>
    </w:p>
    <w:tbl>
      <w:tblPr>
        <w:tblStyle w:val="TableGrid"/>
        <w:tblW w:w="0" w:type="auto"/>
        <w:tblLook w:val="04A0" w:firstRow="1" w:lastRow="0" w:firstColumn="1" w:lastColumn="0" w:noHBand="0" w:noVBand="1"/>
      </w:tblPr>
      <w:tblGrid>
        <w:gridCol w:w="2358"/>
        <w:gridCol w:w="2598"/>
        <w:gridCol w:w="1812"/>
        <w:gridCol w:w="786"/>
        <w:gridCol w:w="2598"/>
      </w:tblGrid>
      <w:tr w:rsidR="003919ED" w:rsidRPr="003919ED" w:rsidTr="00C7656B">
        <w:tc>
          <w:tcPr>
            <w:tcW w:w="2358" w:type="dxa"/>
          </w:tcPr>
          <w:p w:rsidR="003919ED" w:rsidRPr="003919ED" w:rsidRDefault="003919ED" w:rsidP="00C7656B">
            <w:pPr>
              <w:rPr>
                <w:sz w:val="20"/>
                <w:szCs w:val="20"/>
              </w:rPr>
            </w:pPr>
            <w:r w:rsidRPr="003919ED">
              <w:rPr>
                <w:sz w:val="20"/>
                <w:szCs w:val="20"/>
              </w:rPr>
              <w:lastRenderedPageBreak/>
              <w:t>Motion #</w:t>
            </w:r>
          </w:p>
        </w:tc>
        <w:tc>
          <w:tcPr>
            <w:tcW w:w="7794" w:type="dxa"/>
            <w:gridSpan w:val="4"/>
          </w:tcPr>
          <w:p w:rsidR="003919ED" w:rsidRPr="00F31611" w:rsidRDefault="00F31611" w:rsidP="00C7656B">
            <w:pPr>
              <w:rPr>
                <w:b/>
                <w:sz w:val="20"/>
                <w:szCs w:val="20"/>
              </w:rPr>
            </w:pPr>
            <w:r w:rsidRPr="00F31611">
              <w:rPr>
                <w:rStyle w:val="Strong"/>
                <w:b w:val="0"/>
                <w:sz w:val="20"/>
                <w:szCs w:val="20"/>
              </w:rPr>
              <w:t>1213.CAPC.003.C</w:t>
            </w:r>
            <w:r w:rsidRPr="00F31611">
              <w:rPr>
                <w:b/>
                <w:bCs/>
                <w:sz w:val="20"/>
                <w:szCs w:val="20"/>
              </w:rPr>
              <w:t xml:space="preserve"> - </w:t>
            </w:r>
            <w:r w:rsidRPr="00F31611">
              <w:rPr>
                <w:rStyle w:val="Strong"/>
                <w:b w:val="0"/>
                <w:sz w:val="20"/>
                <w:szCs w:val="20"/>
              </w:rPr>
              <w:t>Study Abroad &amp; Global Perspectives Overlay Policy</w:t>
            </w:r>
          </w:p>
        </w:tc>
      </w:tr>
      <w:tr w:rsidR="003919ED" w:rsidRPr="003919ED" w:rsidTr="00C7656B">
        <w:tc>
          <w:tcPr>
            <w:tcW w:w="2358" w:type="dxa"/>
          </w:tcPr>
          <w:p w:rsidR="003919ED" w:rsidRPr="003919ED" w:rsidRDefault="003919ED" w:rsidP="00C7656B">
            <w:pPr>
              <w:rPr>
                <w:sz w:val="20"/>
                <w:szCs w:val="20"/>
              </w:rPr>
            </w:pPr>
            <w:r w:rsidRPr="003919ED">
              <w:rPr>
                <w:sz w:val="20"/>
                <w:szCs w:val="20"/>
              </w:rPr>
              <w:t>Statement of Motion</w:t>
            </w:r>
          </w:p>
        </w:tc>
        <w:tc>
          <w:tcPr>
            <w:tcW w:w="7794" w:type="dxa"/>
            <w:gridSpan w:val="4"/>
          </w:tcPr>
          <w:p w:rsidR="003919ED" w:rsidRPr="003919ED" w:rsidRDefault="00B421E3" w:rsidP="00C7656B">
            <w:pPr>
              <w:rPr>
                <w:sz w:val="20"/>
                <w:szCs w:val="20"/>
              </w:rPr>
            </w:pPr>
            <w:r>
              <w:rPr>
                <w:sz w:val="20"/>
                <w:szCs w:val="20"/>
              </w:rPr>
              <w:t>To establish the following policy:  Any study abroad experience in which a student earns course credit shall be considered to carry a Global Perspectives overlay.</w:t>
            </w:r>
          </w:p>
        </w:tc>
      </w:tr>
      <w:tr w:rsidR="003919ED" w:rsidRPr="003919ED" w:rsidTr="00C7656B">
        <w:tc>
          <w:tcPr>
            <w:tcW w:w="2358" w:type="dxa"/>
          </w:tcPr>
          <w:p w:rsidR="003919ED" w:rsidRPr="003919ED" w:rsidRDefault="003919ED" w:rsidP="00C7656B">
            <w:pPr>
              <w:rPr>
                <w:sz w:val="20"/>
                <w:szCs w:val="20"/>
              </w:rPr>
            </w:pPr>
            <w:r w:rsidRPr="003919ED">
              <w:rPr>
                <w:sz w:val="20"/>
                <w:szCs w:val="20"/>
              </w:rPr>
              <w:t>Committee Vote</w:t>
            </w:r>
          </w:p>
        </w:tc>
        <w:tc>
          <w:tcPr>
            <w:tcW w:w="2598" w:type="dxa"/>
          </w:tcPr>
          <w:p w:rsidR="003919ED" w:rsidRPr="003919ED" w:rsidRDefault="003919ED" w:rsidP="003919ED">
            <w:pPr>
              <w:rPr>
                <w:sz w:val="20"/>
                <w:szCs w:val="20"/>
              </w:rPr>
            </w:pPr>
            <w:r w:rsidRPr="003919ED">
              <w:rPr>
                <w:sz w:val="20"/>
                <w:szCs w:val="20"/>
              </w:rPr>
              <w:t xml:space="preserve">Affirmative: </w:t>
            </w:r>
          </w:p>
        </w:tc>
        <w:tc>
          <w:tcPr>
            <w:tcW w:w="2598" w:type="dxa"/>
            <w:gridSpan w:val="2"/>
          </w:tcPr>
          <w:p w:rsidR="003919ED" w:rsidRPr="003919ED" w:rsidRDefault="003919ED" w:rsidP="003919ED">
            <w:pPr>
              <w:rPr>
                <w:sz w:val="20"/>
                <w:szCs w:val="20"/>
              </w:rPr>
            </w:pPr>
            <w:r w:rsidRPr="003919ED">
              <w:rPr>
                <w:sz w:val="20"/>
                <w:szCs w:val="20"/>
              </w:rPr>
              <w:t xml:space="preserve">Negative: </w:t>
            </w:r>
          </w:p>
        </w:tc>
        <w:tc>
          <w:tcPr>
            <w:tcW w:w="2598" w:type="dxa"/>
          </w:tcPr>
          <w:p w:rsidR="003919ED" w:rsidRPr="003919ED" w:rsidRDefault="003919ED" w:rsidP="00C7656B">
            <w:pPr>
              <w:rPr>
                <w:sz w:val="20"/>
                <w:szCs w:val="20"/>
              </w:rPr>
            </w:pPr>
            <w:r w:rsidRPr="003919ED">
              <w:rPr>
                <w:sz w:val="20"/>
                <w:szCs w:val="20"/>
              </w:rPr>
              <w:t>Abstentions: 3</w:t>
            </w:r>
          </w:p>
        </w:tc>
      </w:tr>
      <w:tr w:rsidR="003919ED" w:rsidRPr="003919ED" w:rsidTr="00C7656B">
        <w:tc>
          <w:tcPr>
            <w:tcW w:w="2358" w:type="dxa"/>
          </w:tcPr>
          <w:p w:rsidR="003919ED" w:rsidRPr="003919ED" w:rsidRDefault="003919ED" w:rsidP="00C7656B">
            <w:pPr>
              <w:rPr>
                <w:sz w:val="20"/>
                <w:szCs w:val="20"/>
              </w:rPr>
            </w:pPr>
            <w:r w:rsidRPr="003919ED">
              <w:rPr>
                <w:sz w:val="20"/>
                <w:szCs w:val="20"/>
              </w:rPr>
              <w:t>Senate Action</w:t>
            </w:r>
          </w:p>
        </w:tc>
        <w:tc>
          <w:tcPr>
            <w:tcW w:w="4410" w:type="dxa"/>
            <w:gridSpan w:val="2"/>
          </w:tcPr>
          <w:p w:rsidR="003919ED" w:rsidRPr="003919ED" w:rsidRDefault="003919ED" w:rsidP="00C7656B">
            <w:pPr>
              <w:rPr>
                <w:sz w:val="20"/>
                <w:szCs w:val="20"/>
              </w:rPr>
            </w:pPr>
            <w:r w:rsidRPr="003919ED">
              <w:rPr>
                <w:sz w:val="20"/>
                <w:szCs w:val="20"/>
              </w:rPr>
              <w:t>Approved</w:t>
            </w:r>
          </w:p>
        </w:tc>
        <w:tc>
          <w:tcPr>
            <w:tcW w:w="3384" w:type="dxa"/>
            <w:gridSpan w:val="2"/>
          </w:tcPr>
          <w:p w:rsidR="003919ED" w:rsidRPr="003919ED" w:rsidRDefault="003919ED" w:rsidP="003919ED">
            <w:pPr>
              <w:rPr>
                <w:sz w:val="20"/>
                <w:szCs w:val="20"/>
              </w:rPr>
            </w:pPr>
            <w:r w:rsidRPr="003919ED">
              <w:rPr>
                <w:sz w:val="20"/>
                <w:szCs w:val="20"/>
              </w:rPr>
              <w:t xml:space="preserve">Date: </w:t>
            </w:r>
            <w:r w:rsidR="00B421E3">
              <w:rPr>
                <w:sz w:val="20"/>
                <w:szCs w:val="20"/>
              </w:rPr>
              <w:t>11/16/2012</w:t>
            </w:r>
          </w:p>
        </w:tc>
      </w:tr>
    </w:tbl>
    <w:p w:rsidR="00865BBB" w:rsidRDefault="00865BBB" w:rsidP="00865BBB"/>
    <w:tbl>
      <w:tblPr>
        <w:tblStyle w:val="TableGrid"/>
        <w:tblW w:w="0" w:type="auto"/>
        <w:tblLook w:val="04A0" w:firstRow="1" w:lastRow="0" w:firstColumn="1" w:lastColumn="0" w:noHBand="0" w:noVBand="1"/>
      </w:tblPr>
      <w:tblGrid>
        <w:gridCol w:w="2358"/>
        <w:gridCol w:w="2598"/>
        <w:gridCol w:w="1812"/>
        <w:gridCol w:w="786"/>
        <w:gridCol w:w="2598"/>
      </w:tblGrid>
      <w:tr w:rsidR="008031F8" w:rsidRPr="003919ED" w:rsidTr="00C7656B">
        <w:tc>
          <w:tcPr>
            <w:tcW w:w="2358" w:type="dxa"/>
          </w:tcPr>
          <w:p w:rsidR="008031F8" w:rsidRPr="003919ED" w:rsidRDefault="008031F8" w:rsidP="00C7656B">
            <w:pPr>
              <w:rPr>
                <w:sz w:val="20"/>
                <w:szCs w:val="20"/>
              </w:rPr>
            </w:pPr>
            <w:r w:rsidRPr="003919ED">
              <w:rPr>
                <w:sz w:val="20"/>
                <w:szCs w:val="20"/>
              </w:rPr>
              <w:t>Motion #</w:t>
            </w:r>
          </w:p>
        </w:tc>
        <w:tc>
          <w:tcPr>
            <w:tcW w:w="7794" w:type="dxa"/>
            <w:gridSpan w:val="4"/>
          </w:tcPr>
          <w:p w:rsidR="008031F8" w:rsidRPr="00B421E3" w:rsidRDefault="00B421E3" w:rsidP="00C7656B">
            <w:pPr>
              <w:rPr>
                <w:b/>
                <w:sz w:val="20"/>
                <w:szCs w:val="20"/>
              </w:rPr>
            </w:pPr>
            <w:r w:rsidRPr="00B421E3">
              <w:rPr>
                <w:rStyle w:val="Strong"/>
                <w:b w:val="0"/>
                <w:sz w:val="20"/>
                <w:szCs w:val="20"/>
              </w:rPr>
              <w:t>1213.CAPC.001.P</w:t>
            </w:r>
            <w:r w:rsidRPr="00B421E3">
              <w:rPr>
                <w:b/>
                <w:bCs/>
                <w:sz w:val="20"/>
                <w:szCs w:val="20"/>
              </w:rPr>
              <w:t xml:space="preserve"> - </w:t>
            </w:r>
            <w:r w:rsidRPr="00B421E3">
              <w:rPr>
                <w:rStyle w:val="Strong"/>
                <w:b w:val="0"/>
                <w:sz w:val="20"/>
                <w:szCs w:val="20"/>
              </w:rPr>
              <w:t>Substantive Change Requirements Policy</w:t>
            </w:r>
          </w:p>
        </w:tc>
      </w:tr>
      <w:tr w:rsidR="008031F8" w:rsidRPr="003919ED" w:rsidTr="00C7656B">
        <w:tc>
          <w:tcPr>
            <w:tcW w:w="2358" w:type="dxa"/>
          </w:tcPr>
          <w:p w:rsidR="008031F8" w:rsidRPr="003919ED" w:rsidRDefault="008031F8" w:rsidP="00C7656B">
            <w:pPr>
              <w:rPr>
                <w:sz w:val="20"/>
                <w:szCs w:val="20"/>
              </w:rPr>
            </w:pPr>
            <w:r w:rsidRPr="003919ED">
              <w:rPr>
                <w:sz w:val="20"/>
                <w:szCs w:val="20"/>
              </w:rPr>
              <w:t>Statement of Motion</w:t>
            </w:r>
          </w:p>
        </w:tc>
        <w:tc>
          <w:tcPr>
            <w:tcW w:w="7794" w:type="dxa"/>
            <w:gridSpan w:val="4"/>
          </w:tcPr>
          <w:p w:rsidR="008031F8" w:rsidRPr="00B421E3" w:rsidRDefault="00B421E3" w:rsidP="00B421E3">
            <w:pPr>
              <w:rPr>
                <w:sz w:val="20"/>
                <w:szCs w:val="20"/>
              </w:rPr>
            </w:pPr>
            <w:r w:rsidRPr="00B421E3">
              <w:rPr>
                <w:sz w:val="20"/>
                <w:szCs w:val="20"/>
              </w:rPr>
              <w:t>To adopt the policy described in the supporting document assuring that Georgia College remains in compliance with Commission on Colleges of the Southern Association of Colleges and Schools (SACSCOC or SACS) requirements for reporting substantive changes in programs and activities. A substantive change is defined as significant modification or expansion of the nature and scope of an accredited institution. Examples are provided in the supporting document.</w:t>
            </w:r>
          </w:p>
        </w:tc>
      </w:tr>
      <w:tr w:rsidR="008031F8" w:rsidRPr="003919ED" w:rsidTr="00C7656B">
        <w:tc>
          <w:tcPr>
            <w:tcW w:w="2358" w:type="dxa"/>
          </w:tcPr>
          <w:p w:rsidR="008031F8" w:rsidRPr="003919ED" w:rsidRDefault="008031F8" w:rsidP="00C7656B">
            <w:pPr>
              <w:rPr>
                <w:sz w:val="20"/>
                <w:szCs w:val="20"/>
              </w:rPr>
            </w:pPr>
            <w:r w:rsidRPr="003919ED">
              <w:rPr>
                <w:sz w:val="20"/>
                <w:szCs w:val="20"/>
              </w:rPr>
              <w:t>Committee Vote</w:t>
            </w:r>
          </w:p>
        </w:tc>
        <w:tc>
          <w:tcPr>
            <w:tcW w:w="2598" w:type="dxa"/>
          </w:tcPr>
          <w:p w:rsidR="008031F8" w:rsidRPr="003919ED" w:rsidRDefault="008031F8" w:rsidP="00C7656B">
            <w:pPr>
              <w:rPr>
                <w:sz w:val="20"/>
                <w:szCs w:val="20"/>
              </w:rPr>
            </w:pPr>
            <w:r w:rsidRPr="003919ED">
              <w:rPr>
                <w:sz w:val="20"/>
                <w:szCs w:val="20"/>
              </w:rPr>
              <w:t xml:space="preserve">Affirmative: </w:t>
            </w:r>
          </w:p>
        </w:tc>
        <w:tc>
          <w:tcPr>
            <w:tcW w:w="2598" w:type="dxa"/>
            <w:gridSpan w:val="2"/>
          </w:tcPr>
          <w:p w:rsidR="008031F8" w:rsidRPr="003919ED" w:rsidRDefault="008031F8" w:rsidP="00C7656B">
            <w:pPr>
              <w:rPr>
                <w:sz w:val="20"/>
                <w:szCs w:val="20"/>
              </w:rPr>
            </w:pPr>
            <w:r w:rsidRPr="003919ED">
              <w:rPr>
                <w:sz w:val="20"/>
                <w:szCs w:val="20"/>
              </w:rPr>
              <w:t xml:space="preserve">Negative: </w:t>
            </w:r>
          </w:p>
        </w:tc>
        <w:tc>
          <w:tcPr>
            <w:tcW w:w="2598" w:type="dxa"/>
          </w:tcPr>
          <w:p w:rsidR="008031F8" w:rsidRPr="003919ED" w:rsidRDefault="008031F8" w:rsidP="00C7656B">
            <w:pPr>
              <w:rPr>
                <w:sz w:val="20"/>
                <w:szCs w:val="20"/>
              </w:rPr>
            </w:pPr>
            <w:r w:rsidRPr="003919ED">
              <w:rPr>
                <w:sz w:val="20"/>
                <w:szCs w:val="20"/>
              </w:rPr>
              <w:t xml:space="preserve">Abstentions: </w:t>
            </w:r>
          </w:p>
        </w:tc>
      </w:tr>
      <w:tr w:rsidR="008031F8" w:rsidRPr="003919ED" w:rsidTr="00C7656B">
        <w:tc>
          <w:tcPr>
            <w:tcW w:w="2358" w:type="dxa"/>
          </w:tcPr>
          <w:p w:rsidR="008031F8" w:rsidRPr="003919ED" w:rsidRDefault="008031F8" w:rsidP="00C7656B">
            <w:pPr>
              <w:rPr>
                <w:sz w:val="20"/>
                <w:szCs w:val="20"/>
              </w:rPr>
            </w:pPr>
            <w:r w:rsidRPr="003919ED">
              <w:rPr>
                <w:sz w:val="20"/>
                <w:szCs w:val="20"/>
              </w:rPr>
              <w:t>Senate Action</w:t>
            </w:r>
          </w:p>
        </w:tc>
        <w:tc>
          <w:tcPr>
            <w:tcW w:w="4410" w:type="dxa"/>
            <w:gridSpan w:val="2"/>
          </w:tcPr>
          <w:p w:rsidR="008031F8" w:rsidRPr="003919ED" w:rsidRDefault="008031F8" w:rsidP="00C7656B">
            <w:pPr>
              <w:rPr>
                <w:sz w:val="20"/>
                <w:szCs w:val="20"/>
              </w:rPr>
            </w:pPr>
            <w:r w:rsidRPr="003919ED">
              <w:rPr>
                <w:sz w:val="20"/>
                <w:szCs w:val="20"/>
              </w:rPr>
              <w:t>Approved</w:t>
            </w:r>
          </w:p>
        </w:tc>
        <w:tc>
          <w:tcPr>
            <w:tcW w:w="3384" w:type="dxa"/>
            <w:gridSpan w:val="2"/>
          </w:tcPr>
          <w:p w:rsidR="008031F8" w:rsidRPr="003919ED" w:rsidRDefault="008031F8" w:rsidP="00C7656B">
            <w:pPr>
              <w:rPr>
                <w:sz w:val="20"/>
                <w:szCs w:val="20"/>
              </w:rPr>
            </w:pPr>
            <w:r w:rsidRPr="003919ED">
              <w:rPr>
                <w:sz w:val="20"/>
                <w:szCs w:val="20"/>
              </w:rPr>
              <w:t>Date</w:t>
            </w:r>
            <w:r w:rsidR="00B421E3">
              <w:rPr>
                <w:sz w:val="20"/>
                <w:szCs w:val="20"/>
              </w:rPr>
              <w:t>: 11/16/2012</w:t>
            </w:r>
            <w:r w:rsidRPr="003919ED">
              <w:rPr>
                <w:sz w:val="20"/>
                <w:szCs w:val="20"/>
              </w:rPr>
              <w:t xml:space="preserve">: </w:t>
            </w:r>
          </w:p>
        </w:tc>
      </w:tr>
    </w:tbl>
    <w:p w:rsidR="008031F8" w:rsidRDefault="008031F8" w:rsidP="00865BBB"/>
    <w:p w:rsidR="00865BBB" w:rsidRDefault="00865BBB" w:rsidP="00DF6B86">
      <w:pPr>
        <w:spacing w:after="240"/>
      </w:pPr>
      <w:r>
        <w:rPr>
          <w:b/>
          <w:bCs/>
          <w:sz w:val="20"/>
          <w:szCs w:val="20"/>
        </w:rPr>
        <w:t>Other Significant Deliberation (Non-Motions):</w:t>
      </w:r>
    </w:p>
    <w:p w:rsidR="00DF6B86" w:rsidRDefault="00DF6B86" w:rsidP="00DF6B86">
      <w:pPr>
        <w:spacing w:after="240"/>
        <w:ind w:left="720"/>
        <w:rPr>
          <w:bCs/>
          <w:sz w:val="20"/>
          <w:szCs w:val="20"/>
        </w:rPr>
      </w:pPr>
      <w:r>
        <w:rPr>
          <w:bCs/>
          <w:sz w:val="20"/>
          <w:szCs w:val="20"/>
        </w:rPr>
        <w:t xml:space="preserve">Significant time was spent at the beginning of the academic year trying to determine the status of the Master of Education in Early Childhood Education submitted to the Senate database in January, 2012 as well as </w:t>
      </w:r>
      <w:r w:rsidR="00D34799">
        <w:rPr>
          <w:bCs/>
          <w:sz w:val="20"/>
          <w:szCs w:val="20"/>
        </w:rPr>
        <w:t xml:space="preserve">tracking the outcome of the proposal for a Religion concentration within the department of Philosophy.  </w:t>
      </w:r>
    </w:p>
    <w:p w:rsidR="00137695" w:rsidRPr="00DF6B86" w:rsidRDefault="00137695" w:rsidP="00DF6B86">
      <w:pPr>
        <w:spacing w:after="240"/>
        <w:ind w:left="720"/>
        <w:rPr>
          <w:bCs/>
          <w:sz w:val="20"/>
          <w:szCs w:val="20"/>
        </w:rPr>
      </w:pPr>
      <w:r>
        <w:rPr>
          <w:bCs/>
          <w:sz w:val="20"/>
          <w:szCs w:val="20"/>
        </w:rPr>
        <w:t xml:space="preserve">During </w:t>
      </w:r>
      <w:proofErr w:type="gramStart"/>
      <w:r>
        <w:rPr>
          <w:bCs/>
          <w:sz w:val="20"/>
          <w:szCs w:val="20"/>
        </w:rPr>
        <w:t>Spring</w:t>
      </w:r>
      <w:proofErr w:type="gramEnd"/>
      <w:r>
        <w:rPr>
          <w:bCs/>
          <w:sz w:val="20"/>
          <w:szCs w:val="20"/>
        </w:rPr>
        <w:t xml:space="preserve"> semester, discussion included the online education policy and need for CAPC involvement in issues related to assessment of quality and curriculum needs for distance education.</w:t>
      </w:r>
    </w:p>
    <w:p w:rsidR="00865BBB" w:rsidRDefault="00865BBB" w:rsidP="0038231E">
      <w:pPr>
        <w:spacing w:after="240"/>
      </w:pPr>
      <w:r>
        <w:rPr>
          <w:b/>
          <w:bCs/>
          <w:sz w:val="20"/>
          <w:szCs w:val="20"/>
        </w:rPr>
        <w:t>Ad hoc committees and other groups:</w:t>
      </w:r>
    </w:p>
    <w:p w:rsidR="00865BBB" w:rsidRPr="00B421E3" w:rsidRDefault="0077257A" w:rsidP="0038231E">
      <w:pPr>
        <w:spacing w:after="240"/>
        <w:ind w:left="720"/>
        <w:rPr>
          <w:sz w:val="20"/>
          <w:szCs w:val="20"/>
        </w:rPr>
      </w:pPr>
      <w:r w:rsidRPr="00B421E3">
        <w:rPr>
          <w:iCs/>
          <w:sz w:val="20"/>
          <w:szCs w:val="20"/>
        </w:rPr>
        <w:t>There were no Ad-hoc committees during this academic year</w:t>
      </w:r>
      <w:proofErr w:type="gramStart"/>
      <w:r w:rsidRPr="00B421E3">
        <w:rPr>
          <w:iCs/>
          <w:sz w:val="20"/>
          <w:szCs w:val="20"/>
        </w:rPr>
        <w:t>.</w:t>
      </w:r>
      <w:r w:rsidR="00865BBB" w:rsidRPr="00B421E3">
        <w:rPr>
          <w:iCs/>
          <w:sz w:val="20"/>
          <w:szCs w:val="20"/>
        </w:rPr>
        <w:t>.</w:t>
      </w:r>
      <w:proofErr w:type="gramEnd"/>
    </w:p>
    <w:p w:rsidR="00865BBB" w:rsidRDefault="00865BBB" w:rsidP="0038231E">
      <w:pPr>
        <w:spacing w:after="240"/>
      </w:pPr>
      <w:r>
        <w:rPr>
          <w:b/>
          <w:bCs/>
          <w:sz w:val="20"/>
          <w:szCs w:val="20"/>
        </w:rPr>
        <w:t>Committee Reflections:</w:t>
      </w:r>
    </w:p>
    <w:p w:rsidR="00DF6B86" w:rsidRDefault="00EF587D" w:rsidP="00EF587D">
      <w:pPr>
        <w:spacing w:after="240"/>
        <w:ind w:left="720"/>
        <w:rPr>
          <w:iCs/>
          <w:sz w:val="20"/>
          <w:szCs w:val="20"/>
        </w:rPr>
      </w:pPr>
      <w:r>
        <w:rPr>
          <w:iCs/>
          <w:sz w:val="20"/>
          <w:szCs w:val="20"/>
        </w:rPr>
        <w:t xml:space="preserve">The majority of committee activity centered </w:t>
      </w:r>
      <w:proofErr w:type="gramStart"/>
      <w:r>
        <w:rPr>
          <w:iCs/>
          <w:sz w:val="20"/>
          <w:szCs w:val="20"/>
        </w:rPr>
        <w:t>around</w:t>
      </w:r>
      <w:proofErr w:type="gramEnd"/>
      <w:r>
        <w:rPr>
          <w:iCs/>
          <w:sz w:val="20"/>
          <w:szCs w:val="20"/>
        </w:rPr>
        <w:t xml:space="preserve"> review of proposals for a new degree program and program modifications, as well as concentration proposals.  The Subcommittee on Core Curric</w:t>
      </w:r>
      <w:r w:rsidR="00D22118">
        <w:rPr>
          <w:iCs/>
          <w:sz w:val="20"/>
          <w:szCs w:val="20"/>
        </w:rPr>
        <w:t xml:space="preserve">ulum continued to perform a huge part of the workload of core curriculum building through review and approval of courses.  </w:t>
      </w:r>
      <w:r w:rsidR="00DF6B86">
        <w:rPr>
          <w:iCs/>
          <w:sz w:val="20"/>
          <w:szCs w:val="20"/>
        </w:rPr>
        <w:t xml:space="preserve">An ongoing need exists for communication to administration and department Curriculum and Instruction chairs regarding the routing process and time frame for proposals.  </w:t>
      </w:r>
    </w:p>
    <w:p w:rsidR="000335F2" w:rsidRDefault="000335F2" w:rsidP="00EF587D">
      <w:pPr>
        <w:spacing w:after="240"/>
        <w:ind w:left="720"/>
        <w:rPr>
          <w:iCs/>
          <w:sz w:val="20"/>
          <w:szCs w:val="20"/>
        </w:rPr>
      </w:pPr>
      <w:r>
        <w:rPr>
          <w:iCs/>
          <w:sz w:val="20"/>
          <w:szCs w:val="20"/>
        </w:rPr>
        <w:t>Communication was impeded by the lack of working links for the online Senate tool to e-mail members. The Chair was not aware that the link was not functioning, and several individuals missed communication essential for meeting preparation.</w:t>
      </w:r>
    </w:p>
    <w:p w:rsidR="00D22118" w:rsidRDefault="00D22118" w:rsidP="00EF587D">
      <w:pPr>
        <w:spacing w:after="240"/>
        <w:ind w:left="720"/>
        <w:rPr>
          <w:iCs/>
          <w:sz w:val="20"/>
          <w:szCs w:val="20"/>
        </w:rPr>
      </w:pPr>
      <w:r>
        <w:rPr>
          <w:iCs/>
          <w:sz w:val="20"/>
          <w:szCs w:val="20"/>
        </w:rPr>
        <w:t>Additionally, committee members engaged in lively discussion and debate about the following topics of concern:</w:t>
      </w:r>
    </w:p>
    <w:p w:rsidR="00D22118" w:rsidRPr="00D22118" w:rsidRDefault="00D22118" w:rsidP="00D22118">
      <w:pPr>
        <w:pStyle w:val="ListParagraph"/>
        <w:numPr>
          <w:ilvl w:val="0"/>
          <w:numId w:val="2"/>
        </w:numPr>
        <w:spacing w:after="240"/>
        <w:rPr>
          <w:sz w:val="20"/>
          <w:szCs w:val="20"/>
        </w:rPr>
      </w:pPr>
      <w:r>
        <w:rPr>
          <w:iCs/>
          <w:sz w:val="20"/>
          <w:szCs w:val="20"/>
        </w:rPr>
        <w:t>E</w:t>
      </w:r>
      <w:r w:rsidRPr="00D22118">
        <w:rPr>
          <w:iCs/>
          <w:sz w:val="20"/>
          <w:szCs w:val="20"/>
        </w:rPr>
        <w:t>nsuring rigor and uni</w:t>
      </w:r>
      <w:r>
        <w:rPr>
          <w:iCs/>
          <w:sz w:val="20"/>
          <w:szCs w:val="20"/>
        </w:rPr>
        <w:t>queness of the core curriculum</w:t>
      </w:r>
      <w:r w:rsidR="00650E69">
        <w:rPr>
          <w:iCs/>
          <w:sz w:val="20"/>
          <w:szCs w:val="20"/>
        </w:rPr>
        <w:t>.</w:t>
      </w:r>
    </w:p>
    <w:p w:rsidR="00D22118" w:rsidRDefault="00D22118" w:rsidP="00D22118">
      <w:pPr>
        <w:pStyle w:val="ListParagraph"/>
        <w:numPr>
          <w:ilvl w:val="0"/>
          <w:numId w:val="2"/>
        </w:numPr>
        <w:spacing w:after="240"/>
        <w:rPr>
          <w:sz w:val="20"/>
          <w:szCs w:val="20"/>
        </w:rPr>
      </w:pPr>
      <w:r>
        <w:rPr>
          <w:sz w:val="20"/>
          <w:szCs w:val="20"/>
        </w:rPr>
        <w:t>Need for sharing of successes for use of the 4</w:t>
      </w:r>
      <w:r w:rsidRPr="00D22118">
        <w:rPr>
          <w:sz w:val="20"/>
          <w:szCs w:val="20"/>
          <w:vertAlign w:val="superscript"/>
        </w:rPr>
        <w:t>th</w:t>
      </w:r>
      <w:r>
        <w:rPr>
          <w:sz w:val="20"/>
          <w:szCs w:val="20"/>
        </w:rPr>
        <w:t xml:space="preserve"> hours in GCY2 courses</w:t>
      </w:r>
      <w:r w:rsidR="00650E69">
        <w:rPr>
          <w:sz w:val="20"/>
          <w:szCs w:val="20"/>
        </w:rPr>
        <w:t>.</w:t>
      </w:r>
    </w:p>
    <w:p w:rsidR="00A10D2D" w:rsidRDefault="00A10D2D" w:rsidP="00D22118">
      <w:pPr>
        <w:pStyle w:val="ListParagraph"/>
        <w:numPr>
          <w:ilvl w:val="0"/>
          <w:numId w:val="2"/>
        </w:numPr>
        <w:spacing w:after="240"/>
        <w:rPr>
          <w:sz w:val="20"/>
          <w:szCs w:val="20"/>
        </w:rPr>
      </w:pPr>
      <w:r>
        <w:rPr>
          <w:sz w:val="20"/>
          <w:szCs w:val="20"/>
        </w:rPr>
        <w:t>Differences between concentrations and tracks.</w:t>
      </w:r>
    </w:p>
    <w:p w:rsidR="00A10D2D" w:rsidRDefault="00A10D2D" w:rsidP="00D22118">
      <w:pPr>
        <w:pStyle w:val="ListParagraph"/>
        <w:numPr>
          <w:ilvl w:val="0"/>
          <w:numId w:val="2"/>
        </w:numPr>
        <w:spacing w:after="240"/>
        <w:rPr>
          <w:sz w:val="20"/>
          <w:szCs w:val="20"/>
        </w:rPr>
      </w:pPr>
      <w:r>
        <w:rPr>
          <w:sz w:val="20"/>
          <w:szCs w:val="20"/>
        </w:rPr>
        <w:t>Administrative implications of offering certificate programs.</w:t>
      </w:r>
    </w:p>
    <w:p w:rsidR="00A10D2D" w:rsidRDefault="00A10D2D" w:rsidP="00D22118">
      <w:pPr>
        <w:pStyle w:val="ListParagraph"/>
        <w:numPr>
          <w:ilvl w:val="0"/>
          <w:numId w:val="2"/>
        </w:numPr>
        <w:spacing w:after="240"/>
        <w:rPr>
          <w:sz w:val="20"/>
          <w:szCs w:val="20"/>
        </w:rPr>
      </w:pPr>
      <w:r>
        <w:rPr>
          <w:sz w:val="20"/>
          <w:szCs w:val="20"/>
        </w:rPr>
        <w:t>Proposal to name the core curriculum the CUBE</w:t>
      </w:r>
    </w:p>
    <w:p w:rsidR="00D22118" w:rsidRDefault="00650E69" w:rsidP="0038231E">
      <w:pPr>
        <w:pStyle w:val="ListParagraph"/>
        <w:numPr>
          <w:ilvl w:val="0"/>
          <w:numId w:val="2"/>
        </w:numPr>
        <w:spacing w:after="240"/>
        <w:rPr>
          <w:sz w:val="20"/>
          <w:szCs w:val="20"/>
        </w:rPr>
      </w:pPr>
      <w:r>
        <w:rPr>
          <w:sz w:val="20"/>
          <w:szCs w:val="20"/>
        </w:rPr>
        <w:t>Resource allocation in times of declining revenue, and whether resources should be a consideration in the deliberation regarding new curriculum initiatives at the committee level.</w:t>
      </w:r>
    </w:p>
    <w:p w:rsidR="00650E69" w:rsidRPr="00D22118" w:rsidRDefault="00650E69" w:rsidP="0038231E">
      <w:pPr>
        <w:pStyle w:val="ListParagraph"/>
        <w:numPr>
          <w:ilvl w:val="0"/>
          <w:numId w:val="2"/>
        </w:numPr>
        <w:spacing w:after="240"/>
        <w:rPr>
          <w:sz w:val="20"/>
          <w:szCs w:val="20"/>
        </w:rPr>
      </w:pPr>
      <w:r>
        <w:rPr>
          <w:sz w:val="20"/>
          <w:szCs w:val="20"/>
        </w:rPr>
        <w:t xml:space="preserve">Desire to be involved in development </w:t>
      </w:r>
      <w:proofErr w:type="gramStart"/>
      <w:r>
        <w:rPr>
          <w:sz w:val="20"/>
          <w:szCs w:val="20"/>
        </w:rPr>
        <w:t>of  policies</w:t>
      </w:r>
      <w:proofErr w:type="gramEnd"/>
      <w:r>
        <w:rPr>
          <w:sz w:val="20"/>
          <w:szCs w:val="20"/>
        </w:rPr>
        <w:t xml:space="preserve"> and procedures related to distance education to ensure curricular integrity. </w:t>
      </w:r>
    </w:p>
    <w:p w:rsidR="00865BBB" w:rsidRDefault="00865BBB" w:rsidP="0038231E">
      <w:pPr>
        <w:spacing w:after="240"/>
        <w:rPr>
          <w:b/>
          <w:bCs/>
          <w:sz w:val="20"/>
          <w:szCs w:val="20"/>
        </w:rPr>
      </w:pPr>
      <w:r>
        <w:rPr>
          <w:b/>
          <w:bCs/>
          <w:sz w:val="20"/>
          <w:szCs w:val="20"/>
        </w:rPr>
        <w:t>Committee Recommendations:</w:t>
      </w:r>
    </w:p>
    <w:p w:rsidR="00DF6B86" w:rsidRDefault="00DF6B86" w:rsidP="00DF6B86">
      <w:pPr>
        <w:pStyle w:val="ListParagraph"/>
        <w:numPr>
          <w:ilvl w:val="0"/>
          <w:numId w:val="4"/>
        </w:numPr>
        <w:spacing w:after="240"/>
        <w:rPr>
          <w:sz w:val="20"/>
          <w:szCs w:val="20"/>
        </w:rPr>
      </w:pPr>
      <w:r>
        <w:rPr>
          <w:sz w:val="20"/>
          <w:szCs w:val="20"/>
        </w:rPr>
        <w:lastRenderedPageBreak/>
        <w:t xml:space="preserve">Consider circulating the routing guidelines for proposals to all Deans and Department Chairs, with a request to forward to departmental and college Curriculum and Instruction committee chairs along with the calendar for the academic year.  </w:t>
      </w:r>
    </w:p>
    <w:p w:rsidR="00265656" w:rsidRDefault="00265656" w:rsidP="00DF6B86">
      <w:pPr>
        <w:pStyle w:val="ListParagraph"/>
        <w:numPr>
          <w:ilvl w:val="0"/>
          <w:numId w:val="4"/>
        </w:numPr>
        <w:spacing w:after="240"/>
        <w:rPr>
          <w:sz w:val="20"/>
          <w:szCs w:val="20"/>
        </w:rPr>
      </w:pPr>
      <w:r>
        <w:rPr>
          <w:sz w:val="20"/>
          <w:szCs w:val="20"/>
        </w:rPr>
        <w:t>Allocate some portion of each meeting to focus on assessment results, perhaps highlighting data from a different college or program that could be shared campus-wide as an exemplar of a successful use of data for improv</w:t>
      </w:r>
      <w:r w:rsidR="00D34799">
        <w:rPr>
          <w:sz w:val="20"/>
          <w:szCs w:val="20"/>
        </w:rPr>
        <w:t>e</w:t>
      </w:r>
      <w:r>
        <w:rPr>
          <w:sz w:val="20"/>
          <w:szCs w:val="20"/>
        </w:rPr>
        <w:t>ment.</w:t>
      </w:r>
    </w:p>
    <w:p w:rsidR="00265656" w:rsidRDefault="00265656" w:rsidP="00DF6B86">
      <w:pPr>
        <w:pStyle w:val="ListParagraph"/>
        <w:numPr>
          <w:ilvl w:val="0"/>
          <w:numId w:val="4"/>
        </w:numPr>
        <w:spacing w:after="240"/>
        <w:rPr>
          <w:sz w:val="20"/>
          <w:szCs w:val="20"/>
        </w:rPr>
      </w:pPr>
      <w:r>
        <w:rPr>
          <w:sz w:val="20"/>
          <w:szCs w:val="20"/>
        </w:rPr>
        <w:t>The departments of Philosophy (College of Arts and Sciences) and Music Therapy (College of Health Sciences) expressed interest in submitting proposals after the final meeting of the committee.  As a courtesy, the new committee should contact the respective department heads to encourage submission early in the new academic year.</w:t>
      </w:r>
    </w:p>
    <w:p w:rsidR="00265656" w:rsidRDefault="00265656" w:rsidP="00DF6B86">
      <w:pPr>
        <w:pStyle w:val="ListParagraph"/>
        <w:numPr>
          <w:ilvl w:val="0"/>
          <w:numId w:val="4"/>
        </w:numPr>
        <w:spacing w:after="240"/>
        <w:rPr>
          <w:sz w:val="20"/>
          <w:szCs w:val="20"/>
        </w:rPr>
      </w:pPr>
      <w:r>
        <w:rPr>
          <w:sz w:val="20"/>
          <w:szCs w:val="20"/>
        </w:rPr>
        <w:t>Consider a policy regarding the assessment of outcomes for 4</w:t>
      </w:r>
      <w:r w:rsidRPr="00265656">
        <w:rPr>
          <w:sz w:val="20"/>
          <w:szCs w:val="20"/>
          <w:vertAlign w:val="superscript"/>
        </w:rPr>
        <w:t>th</w:t>
      </w:r>
      <w:r>
        <w:rPr>
          <w:sz w:val="20"/>
          <w:szCs w:val="20"/>
        </w:rPr>
        <w:t xml:space="preserve"> hour learning activities in </w:t>
      </w:r>
      <w:r w:rsidR="00D34799">
        <w:rPr>
          <w:sz w:val="20"/>
          <w:szCs w:val="20"/>
        </w:rPr>
        <w:t>GCY2 courses to evaluate and document the results of engaged pedagogies within the core curriculum.</w:t>
      </w:r>
    </w:p>
    <w:p w:rsidR="00D34799" w:rsidRDefault="00D34799" w:rsidP="000335F2">
      <w:pPr>
        <w:pStyle w:val="ListParagraph"/>
        <w:numPr>
          <w:ilvl w:val="0"/>
          <w:numId w:val="4"/>
        </w:numPr>
        <w:spacing w:after="240"/>
        <w:rPr>
          <w:sz w:val="20"/>
          <w:szCs w:val="20"/>
        </w:rPr>
      </w:pPr>
      <w:r>
        <w:rPr>
          <w:sz w:val="20"/>
          <w:szCs w:val="20"/>
        </w:rPr>
        <w:t xml:space="preserve">Provide input regarding development of procedures for distance education to promote curricular integrity, especially for fully online programs. </w:t>
      </w:r>
    </w:p>
    <w:p w:rsidR="00C64743" w:rsidRPr="00DF6B86" w:rsidRDefault="00C64743" w:rsidP="000335F2">
      <w:pPr>
        <w:pStyle w:val="ListParagraph"/>
        <w:numPr>
          <w:ilvl w:val="0"/>
          <w:numId w:val="4"/>
        </w:numPr>
        <w:spacing w:after="240"/>
        <w:rPr>
          <w:sz w:val="20"/>
          <w:szCs w:val="20"/>
        </w:rPr>
      </w:pPr>
      <w:r>
        <w:rPr>
          <w:sz w:val="20"/>
          <w:szCs w:val="20"/>
        </w:rPr>
        <w:t>Encourage academic units to submit curriculum proposals that would support retention and graduation initiatives.</w:t>
      </w:r>
    </w:p>
    <w:p w:rsidR="00865BBB" w:rsidRDefault="00865BBB" w:rsidP="000335F2">
      <w:pPr>
        <w:spacing w:after="240"/>
        <w:contextualSpacing/>
      </w:pPr>
      <w:r>
        <w:rPr>
          <w:b/>
          <w:bCs/>
          <w:sz w:val="20"/>
          <w:szCs w:val="20"/>
        </w:rPr>
        <w:t>Recommend items for consideration at the governance retreat:</w:t>
      </w:r>
    </w:p>
    <w:p w:rsidR="00865BBB" w:rsidRPr="000335F2" w:rsidRDefault="000335F2" w:rsidP="000335F2">
      <w:pPr>
        <w:pStyle w:val="ListParagraph"/>
        <w:numPr>
          <w:ilvl w:val="0"/>
          <w:numId w:val="5"/>
        </w:numPr>
        <w:spacing w:after="240"/>
        <w:rPr>
          <w:sz w:val="20"/>
          <w:szCs w:val="20"/>
        </w:rPr>
      </w:pPr>
      <w:r w:rsidRPr="000335F2">
        <w:rPr>
          <w:sz w:val="20"/>
          <w:szCs w:val="20"/>
        </w:rPr>
        <w:t>Provide guidance to committee officers regarding</w:t>
      </w:r>
      <w:r w:rsidR="00346311">
        <w:rPr>
          <w:sz w:val="20"/>
          <w:szCs w:val="20"/>
        </w:rPr>
        <w:t xml:space="preserve"> the use of online Senate tools, including those which are non-functional.</w:t>
      </w:r>
    </w:p>
    <w:p w:rsidR="00F22337" w:rsidRDefault="00F22337" w:rsidP="00F22337">
      <w:pPr>
        <w:rPr>
          <w:b/>
          <w:bCs/>
          <w:sz w:val="20"/>
          <w:szCs w:val="20"/>
        </w:rPr>
      </w:pPr>
      <w:r w:rsidRPr="00F22337">
        <w:rPr>
          <w:b/>
          <w:bCs/>
          <w:sz w:val="20"/>
          <w:szCs w:val="20"/>
        </w:rPr>
        <w:t xml:space="preserve">Appendix: </w:t>
      </w:r>
      <w:r>
        <w:rPr>
          <w:b/>
          <w:bCs/>
          <w:sz w:val="20"/>
          <w:szCs w:val="20"/>
        </w:rPr>
        <w:t>Committee Operating Procedures</w:t>
      </w:r>
    </w:p>
    <w:p w:rsidR="00E61825" w:rsidRDefault="00E61825" w:rsidP="00F22337">
      <w:pPr>
        <w:rPr>
          <w:b/>
          <w:bCs/>
          <w:sz w:val="20"/>
          <w:szCs w:val="20"/>
        </w:rPr>
      </w:pPr>
    </w:p>
    <w:p w:rsidR="00B81D78" w:rsidRPr="00B81D78" w:rsidRDefault="00B81D78" w:rsidP="00B81D78">
      <w:pPr>
        <w:rPr>
          <w:rFonts w:eastAsiaTheme="minorHAnsi"/>
          <w:b/>
          <w:sz w:val="20"/>
          <w:szCs w:val="20"/>
        </w:rPr>
      </w:pPr>
      <w:r w:rsidRPr="00B81D78">
        <w:rPr>
          <w:rFonts w:eastAsiaTheme="minorHAnsi"/>
          <w:b/>
          <w:sz w:val="20"/>
          <w:szCs w:val="20"/>
        </w:rPr>
        <w:t>University Senate</w:t>
      </w:r>
    </w:p>
    <w:p w:rsidR="00B81D78" w:rsidRPr="00B81D78" w:rsidRDefault="00B81D78" w:rsidP="00B81D78">
      <w:pPr>
        <w:rPr>
          <w:rFonts w:eastAsiaTheme="minorHAnsi"/>
          <w:b/>
          <w:sz w:val="20"/>
          <w:szCs w:val="20"/>
        </w:rPr>
      </w:pPr>
      <w:r w:rsidRPr="00B81D78">
        <w:rPr>
          <w:rFonts w:eastAsiaTheme="minorHAnsi"/>
          <w:b/>
          <w:sz w:val="20"/>
          <w:szCs w:val="20"/>
        </w:rPr>
        <w:t>CAPC Operating Procedures</w:t>
      </w:r>
    </w:p>
    <w:p w:rsidR="00B81D78" w:rsidRPr="00B81D78" w:rsidRDefault="00B81D78" w:rsidP="00B81D78">
      <w:pPr>
        <w:rPr>
          <w:rFonts w:eastAsiaTheme="minorHAnsi"/>
          <w:b/>
          <w:sz w:val="20"/>
          <w:szCs w:val="20"/>
        </w:rPr>
      </w:pPr>
      <w:r w:rsidRPr="00B81D78">
        <w:rPr>
          <w:rFonts w:eastAsiaTheme="minorHAnsi"/>
          <w:b/>
          <w:sz w:val="20"/>
          <w:szCs w:val="20"/>
        </w:rPr>
        <w:t>2102-2012</w:t>
      </w:r>
    </w:p>
    <w:p w:rsidR="00B81D78" w:rsidRPr="00B81D78" w:rsidRDefault="00B81D78" w:rsidP="00B81D78">
      <w:pPr>
        <w:rPr>
          <w:rFonts w:eastAsiaTheme="minorHAnsi"/>
          <w:b/>
          <w:sz w:val="20"/>
          <w:szCs w:val="20"/>
        </w:rPr>
      </w:pPr>
    </w:p>
    <w:p w:rsidR="00B81D78" w:rsidRPr="00B81D78" w:rsidRDefault="00B81D78" w:rsidP="00B81D78">
      <w:pPr>
        <w:rPr>
          <w:rFonts w:eastAsiaTheme="minorHAnsi"/>
          <w:b/>
          <w:sz w:val="20"/>
          <w:szCs w:val="20"/>
        </w:rPr>
      </w:pPr>
      <w:r w:rsidRPr="00B81D78">
        <w:rPr>
          <w:rFonts w:eastAsiaTheme="minorHAnsi"/>
          <w:b/>
          <w:sz w:val="20"/>
          <w:szCs w:val="20"/>
        </w:rPr>
        <w:t>As approved August 24, 2012</w:t>
      </w:r>
    </w:p>
    <w:p w:rsidR="00B81D78" w:rsidRPr="00B81D78" w:rsidRDefault="00B81D78" w:rsidP="00B81D78">
      <w:pPr>
        <w:rPr>
          <w:rFonts w:eastAsiaTheme="minorHAnsi"/>
          <w:sz w:val="20"/>
          <w:szCs w:val="20"/>
        </w:rPr>
      </w:pPr>
    </w:p>
    <w:p w:rsidR="00B81D78" w:rsidRPr="00B81D78" w:rsidRDefault="00B81D78" w:rsidP="00B81D78">
      <w:pPr>
        <w:rPr>
          <w:rFonts w:eastAsiaTheme="minorHAnsi"/>
          <w:sz w:val="20"/>
          <w:szCs w:val="20"/>
        </w:rPr>
      </w:pPr>
      <w:r w:rsidRPr="00B81D78">
        <w:rPr>
          <w:rFonts w:eastAsiaTheme="minorHAnsi"/>
          <w:sz w:val="20"/>
          <w:szCs w:val="20"/>
        </w:rPr>
        <w:t>The Curriculum and Assessment Policy Committee endorses the following operating procedures:</w:t>
      </w:r>
    </w:p>
    <w:p w:rsidR="00B81D78" w:rsidRPr="00B81D78" w:rsidRDefault="00B81D78" w:rsidP="00B81D78">
      <w:pPr>
        <w:numPr>
          <w:ilvl w:val="0"/>
          <w:numId w:val="7"/>
        </w:numPr>
        <w:contextualSpacing/>
        <w:rPr>
          <w:rFonts w:eastAsiaTheme="minorHAnsi"/>
          <w:sz w:val="20"/>
          <w:szCs w:val="20"/>
        </w:rPr>
      </w:pPr>
      <w:r w:rsidRPr="00B81D78">
        <w:rPr>
          <w:rFonts w:eastAsiaTheme="minorHAnsi"/>
          <w:sz w:val="20"/>
          <w:szCs w:val="20"/>
        </w:rPr>
        <w:t>Members agree to discuss issues openly and candidly.</w:t>
      </w:r>
    </w:p>
    <w:p w:rsidR="00B81D78" w:rsidRPr="00B81D78" w:rsidRDefault="00B81D78" w:rsidP="00B81D78">
      <w:pPr>
        <w:numPr>
          <w:ilvl w:val="0"/>
          <w:numId w:val="7"/>
        </w:numPr>
        <w:contextualSpacing/>
        <w:rPr>
          <w:rFonts w:eastAsiaTheme="minorHAnsi"/>
          <w:sz w:val="20"/>
          <w:szCs w:val="20"/>
        </w:rPr>
      </w:pPr>
      <w:r w:rsidRPr="00B81D78">
        <w:rPr>
          <w:rFonts w:eastAsiaTheme="minorHAnsi"/>
          <w:sz w:val="20"/>
          <w:szCs w:val="20"/>
        </w:rPr>
        <w:t>Members will speak on behalf of the committee only when an issue has been discussed and the individual has been asked to speak on behalf of the committee.</w:t>
      </w:r>
    </w:p>
    <w:p w:rsidR="00B81D78" w:rsidRPr="00B81D78" w:rsidRDefault="00B81D78" w:rsidP="00B81D78">
      <w:pPr>
        <w:numPr>
          <w:ilvl w:val="0"/>
          <w:numId w:val="7"/>
        </w:numPr>
        <w:contextualSpacing/>
        <w:rPr>
          <w:rFonts w:eastAsiaTheme="minorHAnsi"/>
          <w:sz w:val="20"/>
          <w:szCs w:val="20"/>
        </w:rPr>
      </w:pPr>
      <w:r w:rsidRPr="00B81D78">
        <w:rPr>
          <w:rFonts w:eastAsiaTheme="minorHAnsi"/>
          <w:sz w:val="20"/>
          <w:szCs w:val="20"/>
        </w:rPr>
        <w:t>When a member is asked to provide written communication on behalf of the committee, all members of the committee will be copied in the correspondence.</w:t>
      </w:r>
    </w:p>
    <w:p w:rsidR="00B81D78" w:rsidRPr="00B81D78" w:rsidRDefault="00B81D78" w:rsidP="00B81D78">
      <w:pPr>
        <w:numPr>
          <w:ilvl w:val="0"/>
          <w:numId w:val="7"/>
        </w:numPr>
        <w:contextualSpacing/>
        <w:rPr>
          <w:rFonts w:eastAsiaTheme="minorHAnsi"/>
          <w:sz w:val="20"/>
          <w:szCs w:val="20"/>
        </w:rPr>
      </w:pPr>
      <w:r w:rsidRPr="00B81D78">
        <w:rPr>
          <w:rFonts w:eastAsiaTheme="minorHAnsi"/>
          <w:sz w:val="20"/>
          <w:szCs w:val="20"/>
        </w:rPr>
        <w:t>All members will accept responsibility for preparing fully for meetings by:</w:t>
      </w:r>
    </w:p>
    <w:p w:rsidR="00B81D78" w:rsidRPr="00B81D78" w:rsidRDefault="00B81D78" w:rsidP="00B81D78">
      <w:pPr>
        <w:numPr>
          <w:ilvl w:val="1"/>
          <w:numId w:val="7"/>
        </w:numPr>
        <w:contextualSpacing/>
        <w:rPr>
          <w:rFonts w:eastAsiaTheme="minorHAnsi"/>
          <w:sz w:val="20"/>
          <w:szCs w:val="20"/>
        </w:rPr>
      </w:pPr>
      <w:r w:rsidRPr="00B81D78">
        <w:rPr>
          <w:rFonts w:eastAsiaTheme="minorHAnsi"/>
          <w:sz w:val="20"/>
          <w:szCs w:val="20"/>
        </w:rPr>
        <w:t>Seeking input from constituents regarding concerns that need to be addressed by CAPC</w:t>
      </w:r>
    </w:p>
    <w:p w:rsidR="00B81D78" w:rsidRPr="00B81D78" w:rsidRDefault="00B81D78" w:rsidP="00B81D78">
      <w:pPr>
        <w:numPr>
          <w:ilvl w:val="1"/>
          <w:numId w:val="7"/>
        </w:numPr>
        <w:contextualSpacing/>
        <w:rPr>
          <w:rFonts w:eastAsiaTheme="minorHAnsi"/>
          <w:sz w:val="20"/>
          <w:szCs w:val="20"/>
        </w:rPr>
      </w:pPr>
      <w:r w:rsidRPr="00B81D78">
        <w:rPr>
          <w:rFonts w:eastAsiaTheme="minorHAnsi"/>
          <w:sz w:val="20"/>
          <w:szCs w:val="20"/>
        </w:rPr>
        <w:t>Discussing pending issues with constituency prior to voting on motions.</w:t>
      </w:r>
    </w:p>
    <w:p w:rsidR="00B81D78" w:rsidRPr="00B81D78" w:rsidRDefault="00B81D78" w:rsidP="00B81D78">
      <w:pPr>
        <w:numPr>
          <w:ilvl w:val="1"/>
          <w:numId w:val="7"/>
        </w:numPr>
        <w:contextualSpacing/>
        <w:rPr>
          <w:rFonts w:eastAsiaTheme="minorHAnsi"/>
          <w:sz w:val="20"/>
          <w:szCs w:val="20"/>
        </w:rPr>
      </w:pPr>
      <w:r w:rsidRPr="00B81D78">
        <w:rPr>
          <w:rFonts w:eastAsiaTheme="minorHAnsi"/>
          <w:sz w:val="20"/>
          <w:szCs w:val="20"/>
        </w:rPr>
        <w:t>Reading and investigating the pros and cons as needed of proposals prior to the scheduled meeting where a motion is to be addressed.</w:t>
      </w:r>
    </w:p>
    <w:p w:rsidR="00E61825" w:rsidRPr="00B81D78" w:rsidRDefault="00E61825" w:rsidP="00F22337">
      <w:pPr>
        <w:rPr>
          <w:b/>
          <w:bCs/>
          <w:sz w:val="20"/>
          <w:szCs w:val="20"/>
        </w:rPr>
      </w:pPr>
    </w:p>
    <w:sectPr w:rsidR="00E61825" w:rsidRPr="00B81D78" w:rsidSect="005844EC">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051" w:rsidRDefault="00E04051" w:rsidP="005844EC">
      <w:r>
        <w:separator/>
      </w:r>
    </w:p>
  </w:endnote>
  <w:endnote w:type="continuationSeparator" w:id="0">
    <w:p w:rsidR="00E04051" w:rsidRDefault="00E04051"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4EC" w:rsidRPr="005844EC" w:rsidRDefault="005844EC" w:rsidP="005844EC">
    <w:pPr>
      <w:pStyle w:val="Footer"/>
      <w:tabs>
        <w:tab w:val="clear" w:pos="8640"/>
        <w:tab w:val="right" w:pos="9900"/>
      </w:tabs>
      <w:rPr>
        <w:sz w:val="16"/>
        <w:szCs w:val="16"/>
      </w:rPr>
    </w:pPr>
    <w:r w:rsidRPr="005844EC">
      <w:rPr>
        <w:rStyle w:val="PageNumber"/>
        <w:sz w:val="16"/>
        <w:szCs w:val="16"/>
      </w:rPr>
      <w:tab/>
    </w:r>
    <w:r w:rsidRPr="005844EC">
      <w:rPr>
        <w:sz w:val="16"/>
        <w:szCs w:val="16"/>
      </w:rPr>
      <w:tab/>
      <w:t xml:space="preserve">Page </w:t>
    </w:r>
    <w:r w:rsidR="00437DEE" w:rsidRPr="005844EC">
      <w:rPr>
        <w:sz w:val="16"/>
        <w:szCs w:val="16"/>
      </w:rPr>
      <w:fldChar w:fldCharType="begin"/>
    </w:r>
    <w:r w:rsidRPr="005844EC">
      <w:rPr>
        <w:sz w:val="16"/>
        <w:szCs w:val="16"/>
      </w:rPr>
      <w:instrText xml:space="preserve"> PAGE  \* Arabic  \* MERGEFORMAT </w:instrText>
    </w:r>
    <w:r w:rsidR="00437DEE" w:rsidRPr="005844EC">
      <w:rPr>
        <w:sz w:val="16"/>
        <w:szCs w:val="16"/>
      </w:rPr>
      <w:fldChar w:fldCharType="separate"/>
    </w:r>
    <w:r w:rsidR="00802407">
      <w:rPr>
        <w:noProof/>
        <w:sz w:val="16"/>
        <w:szCs w:val="16"/>
      </w:rPr>
      <w:t>4</w:t>
    </w:r>
    <w:r w:rsidR="00437DEE" w:rsidRPr="005844EC">
      <w:rPr>
        <w:sz w:val="16"/>
        <w:szCs w:val="16"/>
      </w:rPr>
      <w:fldChar w:fldCharType="end"/>
    </w:r>
    <w:r w:rsidRPr="005844EC">
      <w:rPr>
        <w:sz w:val="16"/>
        <w:szCs w:val="16"/>
      </w:rPr>
      <w:t xml:space="preserve"> of </w:t>
    </w:r>
    <w:fldSimple w:instr=" NUMPAGES  \* Arabic  \* MERGEFORMAT ">
      <w:r w:rsidR="00802407" w:rsidRPr="00802407">
        <w:rPr>
          <w:noProof/>
          <w:sz w:val="16"/>
          <w:szCs w:val="16"/>
        </w:rPr>
        <w:t>4</w:t>
      </w:r>
    </w:fldSimple>
  </w:p>
  <w:p w:rsidR="005844EC" w:rsidRDefault="00584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051" w:rsidRDefault="00E04051" w:rsidP="005844EC">
      <w:r>
        <w:separator/>
      </w:r>
    </w:p>
  </w:footnote>
  <w:footnote w:type="continuationSeparator" w:id="0">
    <w:p w:rsidR="00E04051" w:rsidRDefault="00E04051" w:rsidP="00584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90C" w:rsidRDefault="00FC09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C93"/>
    <w:multiLevelType w:val="hybridMultilevel"/>
    <w:tmpl w:val="437427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D25D29"/>
    <w:multiLevelType w:val="hybridMultilevel"/>
    <w:tmpl w:val="65D88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C25EF1"/>
    <w:multiLevelType w:val="hybridMultilevel"/>
    <w:tmpl w:val="35B015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BE5B73"/>
    <w:multiLevelType w:val="hybridMultilevel"/>
    <w:tmpl w:val="455437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DAD2EA6"/>
    <w:multiLevelType w:val="hybridMultilevel"/>
    <w:tmpl w:val="808E64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AE251E"/>
    <w:multiLevelType w:val="hybridMultilevel"/>
    <w:tmpl w:val="4DDA1D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6650E80"/>
    <w:multiLevelType w:val="hybridMultilevel"/>
    <w:tmpl w:val="DEE8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7C8"/>
    <w:rsid w:val="000335F2"/>
    <w:rsid w:val="00045F8D"/>
    <w:rsid w:val="000E4547"/>
    <w:rsid w:val="00122805"/>
    <w:rsid w:val="00137695"/>
    <w:rsid w:val="001D17C8"/>
    <w:rsid w:val="0025172E"/>
    <w:rsid w:val="00265656"/>
    <w:rsid w:val="002F4D31"/>
    <w:rsid w:val="003258B3"/>
    <w:rsid w:val="00346311"/>
    <w:rsid w:val="0038231E"/>
    <w:rsid w:val="003919ED"/>
    <w:rsid w:val="003B08B7"/>
    <w:rsid w:val="00437DEE"/>
    <w:rsid w:val="004A62C0"/>
    <w:rsid w:val="004B7144"/>
    <w:rsid w:val="005844EC"/>
    <w:rsid w:val="00650E69"/>
    <w:rsid w:val="0065195F"/>
    <w:rsid w:val="006A5698"/>
    <w:rsid w:val="006C2D82"/>
    <w:rsid w:val="006E2D30"/>
    <w:rsid w:val="0071470B"/>
    <w:rsid w:val="00730906"/>
    <w:rsid w:val="0077257A"/>
    <w:rsid w:val="00802407"/>
    <w:rsid w:val="008031F8"/>
    <w:rsid w:val="00812246"/>
    <w:rsid w:val="00865BBB"/>
    <w:rsid w:val="00892390"/>
    <w:rsid w:val="00913C7A"/>
    <w:rsid w:val="009355FD"/>
    <w:rsid w:val="00A10D2D"/>
    <w:rsid w:val="00A11B8F"/>
    <w:rsid w:val="00AB35F5"/>
    <w:rsid w:val="00AB4BF5"/>
    <w:rsid w:val="00AB6C01"/>
    <w:rsid w:val="00AF073F"/>
    <w:rsid w:val="00B421E3"/>
    <w:rsid w:val="00B47D44"/>
    <w:rsid w:val="00B81D78"/>
    <w:rsid w:val="00C64743"/>
    <w:rsid w:val="00C81E77"/>
    <w:rsid w:val="00C93CCE"/>
    <w:rsid w:val="00CA40AC"/>
    <w:rsid w:val="00CD61A9"/>
    <w:rsid w:val="00D22118"/>
    <w:rsid w:val="00D27990"/>
    <w:rsid w:val="00D34799"/>
    <w:rsid w:val="00D6535B"/>
    <w:rsid w:val="00D95B64"/>
    <w:rsid w:val="00DB46C6"/>
    <w:rsid w:val="00DF6B86"/>
    <w:rsid w:val="00E04051"/>
    <w:rsid w:val="00E61825"/>
    <w:rsid w:val="00E85F63"/>
    <w:rsid w:val="00EF587D"/>
    <w:rsid w:val="00F22337"/>
    <w:rsid w:val="00F31611"/>
    <w:rsid w:val="00FC0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paragraph" w:styleId="ListParagraph">
    <w:name w:val="List Paragraph"/>
    <w:basedOn w:val="Normal"/>
    <w:uiPriority w:val="34"/>
    <w:qFormat/>
    <w:rsid w:val="0077257A"/>
    <w:pPr>
      <w:ind w:left="720"/>
      <w:contextualSpacing/>
    </w:pPr>
  </w:style>
  <w:style w:type="table" w:styleId="TableGrid">
    <w:name w:val="Table Grid"/>
    <w:basedOn w:val="TableNormal"/>
    <w:rsid w:val="00325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919ED"/>
    <w:rPr>
      <w:b/>
      <w:bCs/>
    </w:rPr>
  </w:style>
  <w:style w:type="paragraph" w:styleId="NormalWeb">
    <w:name w:val="Normal (Web)"/>
    <w:basedOn w:val="Normal"/>
    <w:uiPriority w:val="99"/>
    <w:unhideWhenUsed/>
    <w:rsid w:val="00D2799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paragraph" w:styleId="ListParagraph">
    <w:name w:val="List Paragraph"/>
    <w:basedOn w:val="Normal"/>
    <w:uiPriority w:val="34"/>
    <w:qFormat/>
    <w:rsid w:val="0077257A"/>
    <w:pPr>
      <w:ind w:left="720"/>
      <w:contextualSpacing/>
    </w:pPr>
  </w:style>
  <w:style w:type="table" w:styleId="TableGrid">
    <w:name w:val="Table Grid"/>
    <w:basedOn w:val="TableNormal"/>
    <w:rsid w:val="00325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919ED"/>
    <w:rPr>
      <w:b/>
      <w:bCs/>
    </w:rPr>
  </w:style>
  <w:style w:type="paragraph" w:styleId="NormalWeb">
    <w:name w:val="Normal (Web)"/>
    <w:basedOn w:val="Normal"/>
    <w:uiPriority w:val="99"/>
    <w:unhideWhenUsed/>
    <w:rsid w:val="00D279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10197</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craig.turner</cp:lastModifiedBy>
  <cp:revision>4</cp:revision>
  <cp:lastPrinted>2013-08-15T00:21:00Z</cp:lastPrinted>
  <dcterms:created xsi:type="dcterms:W3CDTF">2013-08-15T00:21:00Z</dcterms:created>
  <dcterms:modified xsi:type="dcterms:W3CDTF">2013-08-15T00:22:00Z</dcterms:modified>
</cp:coreProperties>
</file>