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7" w:rsidRDefault="00864C7D" w:rsidP="00144ECA">
      <w:pPr>
        <w:rPr>
          <w:rFonts w:asciiTheme="minorHAnsi" w:hAnsiTheme="minorHAnsi"/>
        </w:rPr>
      </w:pPr>
      <w:bookmarkStart w:id="0" w:name="_GoBack"/>
      <w:bookmarkEnd w:id="0"/>
      <w:r w:rsidRPr="00864C7D">
        <w:rPr>
          <w:rFonts w:asciiTheme="minorHAnsi" w:hAnsiTheme="minorHAnsi"/>
        </w:rPr>
        <w:t xml:space="preserve">To: </w:t>
      </w:r>
      <w:r w:rsidR="00A1457C">
        <w:rPr>
          <w:rFonts w:asciiTheme="minorHAnsi" w:hAnsiTheme="minorHAnsi"/>
        </w:rPr>
        <w:tab/>
        <w:t>Dr. Steve Dorman, President</w:t>
      </w:r>
    </w:p>
    <w:p w:rsidR="00B0525B" w:rsidRDefault="00B0525B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Dr. Susan Steele, Chair of Executive Committee of University Senate</w:t>
      </w:r>
    </w:p>
    <w:p w:rsidR="00A1457C" w:rsidRDefault="00060194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  <w:r>
        <w:rPr>
          <w:rFonts w:asciiTheme="minorHAnsi" w:hAnsiTheme="minorHAnsi"/>
        </w:rPr>
        <w:tab/>
        <w:t>Dr. Kelli Brown, Vice President and Provost for Academic Affairs</w:t>
      </w:r>
    </w:p>
    <w:p w:rsidR="00060194" w:rsidRDefault="00060194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Ms. Monica Delisa, Vice President for Advancement Services</w:t>
      </w:r>
    </w:p>
    <w:p w:rsidR="00060194" w:rsidRDefault="00060194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Dr. Bruce Harshbarger, Vice President for Student Affairs</w:t>
      </w:r>
    </w:p>
    <w:p w:rsidR="00060194" w:rsidRPr="00864C7D" w:rsidRDefault="00060194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Ms. Susan Allen, Interim Vice President for Finance and Administration</w:t>
      </w:r>
    </w:p>
    <w:p w:rsidR="00864C7D" w:rsidRPr="00864C7D" w:rsidRDefault="00864C7D" w:rsidP="00144ECA">
      <w:pPr>
        <w:rPr>
          <w:rFonts w:asciiTheme="minorHAnsi" w:hAnsiTheme="minorHAnsi"/>
        </w:rPr>
      </w:pPr>
      <w:r w:rsidRPr="00864C7D">
        <w:rPr>
          <w:rFonts w:asciiTheme="minorHAnsi" w:hAnsiTheme="minorHAnsi"/>
        </w:rPr>
        <w:t>From:</w:t>
      </w:r>
      <w:r w:rsidR="00060194">
        <w:rPr>
          <w:rFonts w:asciiTheme="minorHAnsi" w:hAnsiTheme="minorHAnsi"/>
        </w:rPr>
        <w:tab/>
        <w:t>Julia Hann, Internal Audit Director</w:t>
      </w:r>
      <w:r w:rsidR="00060194">
        <w:rPr>
          <w:rFonts w:asciiTheme="minorHAnsi" w:hAnsiTheme="minorHAnsi"/>
        </w:rPr>
        <w:tab/>
      </w:r>
    </w:p>
    <w:p w:rsidR="00060194" w:rsidRPr="00864C7D" w:rsidRDefault="00864C7D" w:rsidP="00144ECA">
      <w:pPr>
        <w:rPr>
          <w:rFonts w:asciiTheme="minorHAnsi" w:hAnsiTheme="minorHAnsi"/>
        </w:rPr>
      </w:pPr>
      <w:r w:rsidRPr="00864C7D">
        <w:rPr>
          <w:rFonts w:asciiTheme="minorHAnsi" w:hAnsiTheme="minorHAnsi"/>
        </w:rPr>
        <w:t>Date:</w:t>
      </w:r>
      <w:r w:rsidR="00E74A59">
        <w:rPr>
          <w:rFonts w:asciiTheme="minorHAnsi" w:hAnsiTheme="minorHAnsi"/>
        </w:rPr>
        <w:tab/>
        <w:t>February 20</w:t>
      </w:r>
      <w:r w:rsidR="00060194">
        <w:rPr>
          <w:rFonts w:asciiTheme="minorHAnsi" w:hAnsiTheme="minorHAnsi"/>
        </w:rPr>
        <w:t>, 2015</w:t>
      </w:r>
    </w:p>
    <w:p w:rsidR="00864C7D" w:rsidRPr="00864C7D" w:rsidRDefault="00864C7D" w:rsidP="00144ECA">
      <w:pPr>
        <w:rPr>
          <w:rFonts w:asciiTheme="minorHAnsi" w:hAnsiTheme="minorHAnsi"/>
        </w:rPr>
      </w:pPr>
      <w:r w:rsidRPr="00864C7D">
        <w:rPr>
          <w:rFonts w:asciiTheme="minorHAnsi" w:hAnsiTheme="minorHAnsi"/>
        </w:rPr>
        <w:t>Subject:</w:t>
      </w:r>
      <w:r w:rsidR="00060194">
        <w:rPr>
          <w:rFonts w:asciiTheme="minorHAnsi" w:hAnsiTheme="minorHAnsi"/>
        </w:rPr>
        <w:t xml:space="preserve"> Advisory Review 15-01, Policies, Procedures, Practices Manual (PPPM)</w:t>
      </w:r>
    </w:p>
    <w:p w:rsidR="00864C7D" w:rsidRPr="00864C7D" w:rsidRDefault="00864C7D" w:rsidP="00144EC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60194" w:rsidRPr="004D5E6B" w:rsidRDefault="004D5E6B" w:rsidP="00144ECA">
      <w:pPr>
        <w:rPr>
          <w:rFonts w:asciiTheme="minorHAnsi" w:hAnsiTheme="minorHAnsi"/>
          <w:color w:val="FF0000"/>
          <w:u w:val="single"/>
        </w:rPr>
      </w:pPr>
      <w:r w:rsidRPr="004D5E6B">
        <w:rPr>
          <w:rFonts w:asciiTheme="minorHAnsi" w:hAnsiTheme="minorHAnsi"/>
          <w:color w:val="FF0000"/>
          <w:u w:val="single"/>
        </w:rPr>
        <w:t>DRAFT</w:t>
      </w:r>
    </w:p>
    <w:p w:rsidR="00060194" w:rsidRDefault="00060194" w:rsidP="00060194">
      <w:pPr>
        <w:rPr>
          <w:rFonts w:asciiTheme="minorHAnsi" w:hAnsiTheme="minorHAnsi"/>
          <w:u w:val="single"/>
        </w:rPr>
      </w:pPr>
      <w:r w:rsidRPr="00060194">
        <w:rPr>
          <w:rFonts w:asciiTheme="minorHAnsi" w:hAnsiTheme="minorHAnsi"/>
          <w:u w:val="single"/>
        </w:rPr>
        <w:t>Background:</w:t>
      </w:r>
    </w:p>
    <w:p w:rsidR="007E1D25" w:rsidRPr="00060194" w:rsidRDefault="007E1D25" w:rsidP="00060194">
      <w:pPr>
        <w:rPr>
          <w:rFonts w:asciiTheme="minorHAnsi" w:hAnsiTheme="minorHAnsi"/>
          <w:u w:val="single"/>
        </w:rPr>
      </w:pPr>
    </w:p>
    <w:p w:rsidR="00864C7D" w:rsidRPr="00864C7D" w:rsidRDefault="00610B79" w:rsidP="00144ECA">
      <w:pPr>
        <w:rPr>
          <w:rFonts w:asciiTheme="minorHAnsi" w:hAnsiTheme="minorHAnsi"/>
        </w:rPr>
      </w:pPr>
      <w:r>
        <w:rPr>
          <w:rFonts w:asciiTheme="minorHAnsi" w:hAnsiTheme="minorHAnsi"/>
        </w:rPr>
        <w:t>Internal Audit and Advisory Services completed a</w:t>
      </w:r>
      <w:r w:rsidR="006C618C">
        <w:rPr>
          <w:rFonts w:asciiTheme="minorHAnsi" w:hAnsiTheme="minorHAnsi"/>
        </w:rPr>
        <w:t>n advisory</w:t>
      </w:r>
      <w:r>
        <w:rPr>
          <w:rFonts w:asciiTheme="minorHAnsi" w:hAnsiTheme="minorHAnsi"/>
        </w:rPr>
        <w:t xml:space="preserve"> review </w:t>
      </w:r>
      <w:r w:rsidR="006C618C">
        <w:rPr>
          <w:rFonts w:asciiTheme="minorHAnsi" w:hAnsiTheme="minorHAnsi"/>
        </w:rPr>
        <w:t xml:space="preserve">of the online </w:t>
      </w:r>
      <w:r w:rsidR="007E1D25">
        <w:rPr>
          <w:rFonts w:asciiTheme="minorHAnsi" w:hAnsiTheme="minorHAnsi"/>
        </w:rPr>
        <w:t xml:space="preserve">Policies, Procedures, </w:t>
      </w:r>
      <w:r w:rsidR="00E74A59">
        <w:rPr>
          <w:rFonts w:asciiTheme="minorHAnsi" w:hAnsiTheme="minorHAnsi"/>
        </w:rPr>
        <w:t>and Practices</w:t>
      </w:r>
      <w:r w:rsidR="007E1D25">
        <w:rPr>
          <w:rFonts w:asciiTheme="minorHAnsi" w:hAnsiTheme="minorHAnsi"/>
        </w:rPr>
        <w:t xml:space="preserve"> Manual (</w:t>
      </w:r>
      <w:r w:rsidR="006C618C">
        <w:rPr>
          <w:rFonts w:asciiTheme="minorHAnsi" w:hAnsiTheme="minorHAnsi"/>
        </w:rPr>
        <w:t>PPPM</w:t>
      </w:r>
      <w:r w:rsidR="007E1D25">
        <w:rPr>
          <w:rFonts w:asciiTheme="minorHAnsi" w:hAnsiTheme="minorHAnsi"/>
        </w:rPr>
        <w:t>)</w:t>
      </w:r>
      <w:r w:rsidR="006C618C">
        <w:rPr>
          <w:rFonts w:asciiTheme="minorHAnsi" w:hAnsiTheme="minorHAnsi"/>
        </w:rPr>
        <w:t xml:space="preserve">, </w:t>
      </w:r>
      <w:r w:rsidR="007E1D25">
        <w:rPr>
          <w:rFonts w:asciiTheme="minorHAnsi" w:hAnsiTheme="minorHAnsi"/>
        </w:rPr>
        <w:t xml:space="preserve">which inherently included a review of the University Senate process and </w:t>
      </w:r>
      <w:r w:rsidR="00773D0A">
        <w:rPr>
          <w:rFonts w:asciiTheme="minorHAnsi" w:hAnsiTheme="minorHAnsi"/>
        </w:rPr>
        <w:t xml:space="preserve">policy </w:t>
      </w:r>
      <w:r w:rsidR="00A67AC8">
        <w:rPr>
          <w:rFonts w:asciiTheme="minorHAnsi" w:hAnsiTheme="minorHAnsi"/>
        </w:rPr>
        <w:t>organization and implementation</w:t>
      </w:r>
      <w:r w:rsidR="007E1D25">
        <w:rPr>
          <w:rFonts w:asciiTheme="minorHAnsi" w:hAnsiTheme="minorHAnsi"/>
        </w:rPr>
        <w:t xml:space="preserve"> once approved.  </w:t>
      </w:r>
      <w:r w:rsidR="006C618C">
        <w:rPr>
          <w:rFonts w:asciiTheme="minorHAnsi" w:hAnsiTheme="minorHAnsi"/>
        </w:rPr>
        <w:t xml:space="preserve">We found that the university has a centralized process for policy </w:t>
      </w:r>
      <w:r w:rsidR="007E1D25">
        <w:rPr>
          <w:rFonts w:asciiTheme="minorHAnsi" w:hAnsiTheme="minorHAnsi"/>
        </w:rPr>
        <w:t>approval</w:t>
      </w:r>
      <w:r w:rsidR="006C618C">
        <w:rPr>
          <w:rFonts w:asciiTheme="minorHAnsi" w:hAnsiTheme="minorHAnsi"/>
        </w:rPr>
        <w:t xml:space="preserve"> through Senate and a decentralized </w:t>
      </w:r>
      <w:r w:rsidR="007E1D25">
        <w:rPr>
          <w:rFonts w:asciiTheme="minorHAnsi" w:hAnsiTheme="minorHAnsi"/>
        </w:rPr>
        <w:t xml:space="preserve">process for </w:t>
      </w:r>
      <w:r w:rsidR="006C618C">
        <w:rPr>
          <w:rFonts w:asciiTheme="minorHAnsi" w:hAnsiTheme="minorHAnsi"/>
        </w:rPr>
        <w:t xml:space="preserve">policy management.  </w:t>
      </w:r>
      <w:r w:rsidR="007E1D25">
        <w:rPr>
          <w:rFonts w:asciiTheme="minorHAnsi" w:hAnsiTheme="minorHAnsi"/>
        </w:rPr>
        <w:t xml:space="preserve">Internal Audit appreciates the opportunity to start discussions surrounding policy and procedures creation, approval and </w:t>
      </w:r>
      <w:r w:rsidR="00E74A59">
        <w:rPr>
          <w:rFonts w:asciiTheme="minorHAnsi" w:hAnsiTheme="minorHAnsi"/>
        </w:rPr>
        <w:t>organization</w:t>
      </w:r>
      <w:r w:rsidR="007E1D25">
        <w:rPr>
          <w:rFonts w:asciiTheme="minorHAnsi" w:hAnsiTheme="minorHAnsi"/>
        </w:rPr>
        <w:t xml:space="preserve">, as it </w:t>
      </w:r>
      <w:r w:rsidR="008C7384">
        <w:rPr>
          <w:rFonts w:asciiTheme="minorHAnsi" w:hAnsiTheme="minorHAnsi"/>
        </w:rPr>
        <w:t>assist</w:t>
      </w:r>
      <w:r w:rsidR="007E1D25">
        <w:rPr>
          <w:rFonts w:asciiTheme="minorHAnsi" w:hAnsiTheme="minorHAnsi"/>
        </w:rPr>
        <w:t>s</w:t>
      </w:r>
      <w:r w:rsidR="008C7384">
        <w:rPr>
          <w:rFonts w:asciiTheme="minorHAnsi" w:hAnsiTheme="minorHAnsi"/>
        </w:rPr>
        <w:t xml:space="preserve"> the university’s internal controls structure</w:t>
      </w:r>
      <w:r w:rsidR="007E1D25">
        <w:rPr>
          <w:rFonts w:asciiTheme="minorHAnsi" w:hAnsiTheme="minorHAnsi"/>
        </w:rPr>
        <w:t xml:space="preserve">.  Specifically, policies and procedures </w:t>
      </w:r>
      <w:r w:rsidR="008C7384">
        <w:rPr>
          <w:rFonts w:asciiTheme="minorHAnsi" w:hAnsiTheme="minorHAnsi"/>
        </w:rPr>
        <w:t xml:space="preserve">help to </w:t>
      </w:r>
      <w:r w:rsidR="006C618C">
        <w:rPr>
          <w:rFonts w:asciiTheme="minorHAnsi" w:hAnsiTheme="minorHAnsi"/>
        </w:rPr>
        <w:t>support:</w:t>
      </w:r>
    </w:p>
    <w:p w:rsidR="005A55CC" w:rsidRPr="00864C7D" w:rsidRDefault="006C618C" w:rsidP="003E4A7F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B3742" w:rsidRPr="00864C7D">
        <w:rPr>
          <w:rFonts w:asciiTheme="minorHAnsi" w:hAnsiTheme="minorHAnsi"/>
        </w:rPr>
        <w:t xml:space="preserve">onsistency and clarity of </w:t>
      </w:r>
      <w:r w:rsidR="007E1D25">
        <w:rPr>
          <w:rFonts w:asciiTheme="minorHAnsi" w:hAnsiTheme="minorHAnsi"/>
        </w:rPr>
        <w:t>university expectations</w:t>
      </w:r>
      <w:r w:rsidR="003B3742" w:rsidRPr="00864C7D">
        <w:rPr>
          <w:rFonts w:asciiTheme="minorHAnsi" w:hAnsiTheme="minorHAnsi"/>
        </w:rPr>
        <w:t>,</w:t>
      </w:r>
    </w:p>
    <w:p w:rsidR="005A55CC" w:rsidRPr="00864C7D" w:rsidRDefault="006C618C" w:rsidP="003E4A7F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67AC8">
        <w:rPr>
          <w:rFonts w:asciiTheme="minorHAnsi" w:hAnsiTheme="minorHAnsi"/>
        </w:rPr>
        <w:t>ransparency of procedures</w:t>
      </w:r>
      <w:r w:rsidR="003B3742" w:rsidRPr="00864C7D">
        <w:rPr>
          <w:rFonts w:asciiTheme="minorHAnsi" w:hAnsiTheme="minorHAnsi"/>
        </w:rPr>
        <w:t>, and</w:t>
      </w:r>
    </w:p>
    <w:p w:rsidR="007E1D25" w:rsidRDefault="007E1D25" w:rsidP="003E4A7F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Guidelines for management to make timely decisions on daily operations.</w:t>
      </w:r>
    </w:p>
    <w:p w:rsidR="00864C7D" w:rsidRPr="00864C7D" w:rsidRDefault="00864C7D" w:rsidP="00144ECA">
      <w:pPr>
        <w:rPr>
          <w:rFonts w:asciiTheme="minorHAnsi" w:hAnsiTheme="minorHAnsi"/>
        </w:rPr>
      </w:pPr>
    </w:p>
    <w:p w:rsidR="00864C7D" w:rsidRPr="007E1D25" w:rsidRDefault="003E4A7F" w:rsidP="00144ECA">
      <w:pPr>
        <w:rPr>
          <w:rFonts w:asciiTheme="minorHAnsi" w:hAnsiTheme="minorHAnsi"/>
          <w:u w:val="single"/>
        </w:rPr>
      </w:pPr>
      <w:r w:rsidRPr="007E1D25">
        <w:rPr>
          <w:rFonts w:asciiTheme="minorHAnsi" w:hAnsiTheme="minorHAnsi"/>
          <w:u w:val="single"/>
        </w:rPr>
        <w:t>Recommendations:</w:t>
      </w:r>
    </w:p>
    <w:p w:rsidR="00864C7D" w:rsidRPr="00864C7D" w:rsidRDefault="00864C7D" w:rsidP="00144ECA">
      <w:pPr>
        <w:rPr>
          <w:rFonts w:asciiTheme="minorHAnsi" w:hAnsiTheme="minorHAnsi"/>
        </w:rPr>
      </w:pPr>
    </w:p>
    <w:p w:rsidR="003E4A7F" w:rsidRDefault="003E4A7F" w:rsidP="00864C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</w:t>
      </w:r>
      <w:r w:rsidR="00B0525B">
        <w:rPr>
          <w:rFonts w:asciiTheme="minorHAnsi" w:hAnsiTheme="minorHAnsi"/>
        </w:rPr>
        <w:t>, Procedures Coordination</w:t>
      </w:r>
      <w:r>
        <w:rPr>
          <w:rFonts w:asciiTheme="minorHAnsi" w:hAnsiTheme="minorHAnsi"/>
        </w:rPr>
        <w:t>:</w:t>
      </w:r>
    </w:p>
    <w:p w:rsidR="003E4A7F" w:rsidRDefault="00BA6198" w:rsidP="003E4A7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Consider</w:t>
      </w:r>
      <w:r w:rsidR="003E4A7F">
        <w:rPr>
          <w:rFonts w:asciiTheme="minorHAnsi" w:hAnsiTheme="minorHAnsi"/>
        </w:rPr>
        <w:t xml:space="preserve"> formaliz</w:t>
      </w:r>
      <w:r>
        <w:rPr>
          <w:rFonts w:asciiTheme="minorHAnsi" w:hAnsiTheme="minorHAnsi"/>
        </w:rPr>
        <w:t>ing</w:t>
      </w:r>
      <w:r w:rsidR="003E4A7F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universitywide</w:t>
      </w:r>
      <w:r w:rsidR="003E4A7F">
        <w:rPr>
          <w:rFonts w:asciiTheme="minorHAnsi" w:hAnsiTheme="minorHAnsi"/>
        </w:rPr>
        <w:t xml:space="preserve"> policy and procedures coordinator to manage the </w:t>
      </w:r>
      <w:r w:rsidR="00A67AC8">
        <w:rPr>
          <w:rFonts w:asciiTheme="minorHAnsi" w:hAnsiTheme="minorHAnsi"/>
        </w:rPr>
        <w:t>organization and</w:t>
      </w:r>
      <w:r w:rsidR="004D5E6B">
        <w:rPr>
          <w:rFonts w:asciiTheme="minorHAnsi" w:hAnsiTheme="minorHAnsi"/>
        </w:rPr>
        <w:t xml:space="preserve"> assist with guidance for</w:t>
      </w:r>
      <w:r w:rsidR="00A67AC8">
        <w:rPr>
          <w:rFonts w:asciiTheme="minorHAnsi" w:hAnsiTheme="minorHAnsi"/>
        </w:rPr>
        <w:t xml:space="preserve"> implementation</w:t>
      </w:r>
      <w:r w:rsidR="003E4A7F">
        <w:rPr>
          <w:rFonts w:asciiTheme="minorHAnsi" w:hAnsiTheme="minorHAnsi"/>
        </w:rPr>
        <w:t>.</w:t>
      </w:r>
      <w:r w:rsidR="007E1D25">
        <w:rPr>
          <w:rFonts w:asciiTheme="minorHAnsi" w:hAnsiTheme="minorHAnsi"/>
        </w:rPr>
        <w:t xml:space="preserve">  I</w:t>
      </w:r>
      <w:r w:rsidR="003E4A7F">
        <w:rPr>
          <w:rFonts w:asciiTheme="minorHAnsi" w:hAnsiTheme="minorHAnsi"/>
        </w:rPr>
        <w:t xml:space="preserve">tems to consider for </w:t>
      </w:r>
      <w:r w:rsidR="00B0525B">
        <w:rPr>
          <w:rFonts w:asciiTheme="minorHAnsi" w:hAnsiTheme="minorHAnsi"/>
        </w:rPr>
        <w:t>universitywide coordination</w:t>
      </w:r>
      <w:r w:rsidR="003E4A7F">
        <w:rPr>
          <w:rFonts w:asciiTheme="minorHAnsi" w:hAnsiTheme="minorHAnsi"/>
        </w:rPr>
        <w:t>:</w:t>
      </w:r>
    </w:p>
    <w:p w:rsidR="00BA6198" w:rsidRDefault="00610B79" w:rsidP="00610B7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A6198" w:rsidRPr="003E4A7F">
        <w:rPr>
          <w:rFonts w:asciiTheme="minorHAnsi" w:hAnsiTheme="minorHAnsi"/>
        </w:rPr>
        <w:t xml:space="preserve">tandards for </w:t>
      </w:r>
      <w:r>
        <w:rPr>
          <w:rFonts w:asciiTheme="minorHAnsi" w:hAnsiTheme="minorHAnsi"/>
        </w:rPr>
        <w:t xml:space="preserve">the online </w:t>
      </w:r>
      <w:r w:rsidR="00BA6198" w:rsidRPr="003E4A7F">
        <w:rPr>
          <w:rFonts w:asciiTheme="minorHAnsi" w:hAnsiTheme="minorHAnsi"/>
        </w:rPr>
        <w:t>PPPM that includes date policy approved and Senate number.</w:t>
      </w:r>
    </w:p>
    <w:p w:rsidR="00E74A59" w:rsidRDefault="00E74A59" w:rsidP="00E74A5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E4A7F">
        <w:rPr>
          <w:rFonts w:asciiTheme="minorHAnsi" w:hAnsiTheme="minorHAnsi"/>
        </w:rPr>
        <w:t xml:space="preserve">Formal notification to </w:t>
      </w:r>
      <w:r>
        <w:rPr>
          <w:rFonts w:asciiTheme="minorHAnsi" w:hAnsiTheme="minorHAnsi"/>
        </w:rPr>
        <w:t xml:space="preserve">the </w:t>
      </w:r>
      <w:r w:rsidRPr="003E4A7F">
        <w:rPr>
          <w:rFonts w:asciiTheme="minorHAnsi" w:hAnsiTheme="minorHAnsi"/>
        </w:rPr>
        <w:t>implementer</w:t>
      </w:r>
      <w:r>
        <w:rPr>
          <w:rFonts w:asciiTheme="minorHAnsi" w:hAnsiTheme="minorHAnsi"/>
        </w:rPr>
        <w:t>(s) after Senate approval of policy.</w:t>
      </w:r>
    </w:p>
    <w:p w:rsidR="00E74A59" w:rsidRPr="00E74A59" w:rsidRDefault="00E74A59" w:rsidP="00E74A59">
      <w:pPr>
        <w:numPr>
          <w:ilvl w:val="0"/>
          <w:numId w:val="17"/>
        </w:numPr>
        <w:rPr>
          <w:rFonts w:asciiTheme="minorHAnsi" w:hAnsiTheme="minorHAnsi"/>
        </w:rPr>
      </w:pPr>
      <w:r w:rsidRPr="00864C7D">
        <w:rPr>
          <w:rFonts w:asciiTheme="minorHAnsi" w:hAnsiTheme="minorHAnsi"/>
        </w:rPr>
        <w:t>Guidelines to</w:t>
      </w:r>
      <w:r>
        <w:rPr>
          <w:rFonts w:asciiTheme="minorHAnsi" w:hAnsiTheme="minorHAnsi"/>
        </w:rPr>
        <w:t xml:space="preserve"> assist</w:t>
      </w:r>
      <w:r w:rsidRPr="00864C7D">
        <w:rPr>
          <w:rFonts w:asciiTheme="minorHAnsi" w:hAnsiTheme="minorHAnsi"/>
        </w:rPr>
        <w:t xml:space="preserve"> implementer</w:t>
      </w:r>
      <w:r>
        <w:rPr>
          <w:rFonts w:asciiTheme="minorHAnsi" w:hAnsiTheme="minorHAnsi"/>
        </w:rPr>
        <w:t>(s)</w:t>
      </w:r>
      <w:r w:rsidRPr="00864C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</w:t>
      </w:r>
      <w:r w:rsidRPr="00864C7D">
        <w:rPr>
          <w:rFonts w:asciiTheme="minorHAnsi" w:hAnsiTheme="minorHAnsi"/>
        </w:rPr>
        <w:t xml:space="preserve"> policy </w:t>
      </w:r>
      <w:r>
        <w:rPr>
          <w:rFonts w:asciiTheme="minorHAnsi" w:hAnsiTheme="minorHAnsi"/>
        </w:rPr>
        <w:t xml:space="preserve">and procedure </w:t>
      </w:r>
      <w:r w:rsidRPr="00864C7D">
        <w:rPr>
          <w:rFonts w:asciiTheme="minorHAnsi" w:hAnsiTheme="minorHAnsi"/>
        </w:rPr>
        <w:t>awareness</w:t>
      </w:r>
      <w:r>
        <w:rPr>
          <w:rFonts w:asciiTheme="minorHAnsi" w:hAnsiTheme="minorHAnsi"/>
        </w:rPr>
        <w:t xml:space="preserve"> campaigns.</w:t>
      </w:r>
    </w:p>
    <w:p w:rsidR="00610B79" w:rsidRDefault="00E74A59" w:rsidP="003E4A7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Timely reviews and i</w:t>
      </w:r>
      <w:r w:rsidR="00610B79">
        <w:rPr>
          <w:rFonts w:asciiTheme="minorHAnsi" w:hAnsiTheme="minorHAnsi"/>
        </w:rPr>
        <w:t>nventor</w:t>
      </w:r>
      <w:r>
        <w:rPr>
          <w:rFonts w:asciiTheme="minorHAnsi" w:hAnsiTheme="minorHAnsi"/>
        </w:rPr>
        <w:t>ies</w:t>
      </w:r>
      <w:r w:rsidR="00610B79">
        <w:rPr>
          <w:rFonts w:asciiTheme="minorHAnsi" w:hAnsiTheme="minorHAnsi"/>
        </w:rPr>
        <w:t xml:space="preserve"> of policy and procedures.</w:t>
      </w:r>
    </w:p>
    <w:p w:rsidR="003E4A7F" w:rsidRPr="00864C7D" w:rsidRDefault="00610B79" w:rsidP="003E4A7F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pr</w:t>
      </w:r>
      <w:r w:rsidR="003E4A7F">
        <w:rPr>
          <w:rFonts w:asciiTheme="minorHAnsi" w:hAnsiTheme="minorHAnsi"/>
        </w:rPr>
        <w:t xml:space="preserve">incipal contact for PPPM software vendor (Smart Catalog) and </w:t>
      </w:r>
      <w:r>
        <w:rPr>
          <w:rFonts w:asciiTheme="minorHAnsi" w:hAnsiTheme="minorHAnsi"/>
        </w:rPr>
        <w:t>requests of periodic</w:t>
      </w:r>
      <w:r w:rsidR="003E4A7F" w:rsidRPr="00864C7D">
        <w:rPr>
          <w:rFonts w:asciiTheme="minorHAnsi" w:hAnsiTheme="minorHAnsi"/>
        </w:rPr>
        <w:t xml:space="preserve"> scans for broken links in PPPM</w:t>
      </w:r>
      <w:r w:rsidR="003E4A7F">
        <w:rPr>
          <w:rFonts w:asciiTheme="minorHAnsi" w:hAnsiTheme="minorHAnsi"/>
        </w:rPr>
        <w:t>.</w:t>
      </w:r>
    </w:p>
    <w:p w:rsidR="003E4A7F" w:rsidRPr="003E4A7F" w:rsidRDefault="00610B79" w:rsidP="003E4A7F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Benchmarks </w:t>
      </w:r>
      <w:r w:rsidR="003B3742">
        <w:rPr>
          <w:rFonts w:asciiTheme="minorHAnsi" w:hAnsiTheme="minorHAnsi"/>
        </w:rPr>
        <w:t>with</w:t>
      </w:r>
      <w:r w:rsidR="00BA6198">
        <w:rPr>
          <w:rFonts w:asciiTheme="minorHAnsi" w:hAnsiTheme="minorHAnsi"/>
        </w:rPr>
        <w:t xml:space="preserve"> ACUPA – Association of College and University Policy Administrators.</w:t>
      </w:r>
    </w:p>
    <w:p w:rsidR="003E4A7F" w:rsidRDefault="003E4A7F" w:rsidP="003E4A7F">
      <w:pPr>
        <w:rPr>
          <w:rFonts w:asciiTheme="minorHAnsi" w:hAnsiTheme="minorHAnsi"/>
        </w:rPr>
      </w:pPr>
    </w:p>
    <w:p w:rsidR="00B0525B" w:rsidRDefault="00B0525B" w:rsidP="003E4A7F">
      <w:pPr>
        <w:rPr>
          <w:rFonts w:asciiTheme="minorHAnsi" w:hAnsiTheme="minorHAnsi"/>
        </w:rPr>
      </w:pPr>
    </w:p>
    <w:p w:rsidR="00B0525B" w:rsidRDefault="00B0525B" w:rsidP="003E4A7F">
      <w:pPr>
        <w:rPr>
          <w:rFonts w:asciiTheme="minorHAnsi" w:hAnsiTheme="minorHAnsi"/>
        </w:rPr>
      </w:pPr>
    </w:p>
    <w:p w:rsidR="00B0525B" w:rsidRPr="00864C7D" w:rsidRDefault="00B0525B" w:rsidP="003E4A7F">
      <w:pPr>
        <w:rPr>
          <w:rFonts w:asciiTheme="minorHAnsi" w:hAnsiTheme="minorHAnsi"/>
        </w:rPr>
      </w:pPr>
    </w:p>
    <w:p w:rsidR="00BA6198" w:rsidRDefault="00BA6198" w:rsidP="00864C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University Senate:</w:t>
      </w:r>
    </w:p>
    <w:p w:rsidR="00BA6198" w:rsidRDefault="00773D0A" w:rsidP="00BA619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A6198">
        <w:rPr>
          <w:rFonts w:asciiTheme="minorHAnsi" w:hAnsiTheme="minorHAnsi"/>
        </w:rPr>
        <w:t>niversity Sen</w:t>
      </w:r>
      <w:r w:rsidR="00610B79">
        <w:rPr>
          <w:rFonts w:asciiTheme="minorHAnsi" w:hAnsiTheme="minorHAnsi"/>
        </w:rPr>
        <w:t xml:space="preserve">ate has </w:t>
      </w:r>
      <w:r>
        <w:rPr>
          <w:rFonts w:asciiTheme="minorHAnsi" w:hAnsiTheme="minorHAnsi"/>
        </w:rPr>
        <w:t>established a</w:t>
      </w:r>
      <w:r w:rsidR="00BA6198">
        <w:rPr>
          <w:rFonts w:asciiTheme="minorHAnsi" w:hAnsiTheme="minorHAnsi"/>
        </w:rPr>
        <w:t xml:space="preserve"> formalized </w:t>
      </w:r>
      <w:r w:rsidR="00610B79">
        <w:rPr>
          <w:rFonts w:asciiTheme="minorHAnsi" w:hAnsiTheme="minorHAnsi"/>
        </w:rPr>
        <w:t xml:space="preserve">written process for </w:t>
      </w:r>
      <w:r w:rsidR="00BA6198">
        <w:rPr>
          <w:rFonts w:asciiTheme="minorHAnsi" w:hAnsiTheme="minorHAnsi"/>
        </w:rPr>
        <w:t>all university</w:t>
      </w:r>
      <w:r>
        <w:rPr>
          <w:rFonts w:asciiTheme="minorHAnsi" w:hAnsiTheme="minorHAnsi"/>
        </w:rPr>
        <w:t>wide policy review and approval</w:t>
      </w:r>
      <w:r w:rsidR="00BA6198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Noted below, were a few opportunities for improvement.  </w:t>
      </w:r>
    </w:p>
    <w:p w:rsidR="005A55CC" w:rsidRPr="00864C7D" w:rsidRDefault="003B3742" w:rsidP="00BA6198">
      <w:pPr>
        <w:numPr>
          <w:ilvl w:val="1"/>
          <w:numId w:val="16"/>
        </w:numPr>
        <w:rPr>
          <w:rFonts w:asciiTheme="minorHAnsi" w:hAnsiTheme="minorHAnsi"/>
        </w:rPr>
      </w:pPr>
      <w:r w:rsidRPr="00864C7D">
        <w:rPr>
          <w:rFonts w:asciiTheme="minorHAnsi" w:hAnsiTheme="minorHAnsi"/>
        </w:rPr>
        <w:t>Follow-up to 115 items awaiting implementation</w:t>
      </w:r>
      <w:r w:rsidR="00BA6198">
        <w:rPr>
          <w:rFonts w:asciiTheme="minorHAnsi" w:hAnsiTheme="minorHAnsi"/>
        </w:rPr>
        <w:t xml:space="preserve"> in Senate database.</w:t>
      </w:r>
    </w:p>
    <w:p w:rsidR="005A55CC" w:rsidRPr="00864C7D" w:rsidRDefault="003B3742" w:rsidP="00BA6198">
      <w:pPr>
        <w:numPr>
          <w:ilvl w:val="1"/>
          <w:numId w:val="16"/>
        </w:numPr>
        <w:rPr>
          <w:rFonts w:asciiTheme="minorHAnsi" w:hAnsiTheme="minorHAnsi"/>
        </w:rPr>
      </w:pPr>
      <w:r w:rsidRPr="00864C7D">
        <w:rPr>
          <w:rFonts w:asciiTheme="minorHAnsi" w:hAnsiTheme="minorHAnsi"/>
        </w:rPr>
        <w:t>Consider searchable senate meeting minutes</w:t>
      </w:r>
      <w:r w:rsidR="00BA6198">
        <w:rPr>
          <w:rFonts w:asciiTheme="minorHAnsi" w:hAnsiTheme="minorHAnsi"/>
        </w:rPr>
        <w:t xml:space="preserve"> for ease of search for policy topics.</w:t>
      </w:r>
    </w:p>
    <w:p w:rsidR="005A55CC" w:rsidRDefault="003B3742" w:rsidP="00BA6198">
      <w:pPr>
        <w:numPr>
          <w:ilvl w:val="1"/>
          <w:numId w:val="16"/>
        </w:numPr>
        <w:rPr>
          <w:rFonts w:asciiTheme="minorHAnsi" w:hAnsiTheme="minorHAnsi"/>
        </w:rPr>
      </w:pPr>
      <w:r w:rsidRPr="00864C7D">
        <w:rPr>
          <w:rFonts w:asciiTheme="minorHAnsi" w:hAnsiTheme="minorHAnsi"/>
        </w:rPr>
        <w:t>Add guidelines to Senate manuals for policy removals</w:t>
      </w:r>
      <w:r w:rsidR="00BA6198">
        <w:rPr>
          <w:rFonts w:asciiTheme="minorHAnsi" w:hAnsiTheme="minorHAnsi"/>
        </w:rPr>
        <w:t>.</w:t>
      </w:r>
    </w:p>
    <w:p w:rsidR="00BA6198" w:rsidRDefault="00610B79" w:rsidP="00BA6198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Continuous monitoring with DoIT</w:t>
      </w:r>
      <w:r w:rsidR="00BA6198" w:rsidRPr="00864C7D">
        <w:rPr>
          <w:rFonts w:asciiTheme="minorHAnsi" w:hAnsiTheme="minorHAnsi"/>
        </w:rPr>
        <w:t xml:space="preserve"> to enhance database infrastructure</w:t>
      </w:r>
      <w:r>
        <w:rPr>
          <w:rFonts w:asciiTheme="minorHAnsi" w:hAnsiTheme="minorHAnsi"/>
        </w:rPr>
        <w:t>.</w:t>
      </w:r>
    </w:p>
    <w:p w:rsidR="004D5E6B" w:rsidRDefault="004D5E6B" w:rsidP="004D5E6B">
      <w:pPr>
        <w:rPr>
          <w:rFonts w:asciiTheme="minorHAnsi" w:hAnsiTheme="minorHAnsi"/>
        </w:rPr>
      </w:pPr>
    </w:p>
    <w:p w:rsidR="004D5E6B" w:rsidRPr="004D5E6B" w:rsidRDefault="004D5E6B" w:rsidP="004D5E6B">
      <w:pPr>
        <w:rPr>
          <w:rFonts w:asciiTheme="minorHAnsi" w:hAnsiTheme="minorHAnsi"/>
          <w:u w:val="single"/>
        </w:rPr>
      </w:pPr>
      <w:r w:rsidRPr="004D5E6B">
        <w:rPr>
          <w:rFonts w:asciiTheme="minorHAnsi" w:hAnsiTheme="minorHAnsi"/>
          <w:u w:val="single"/>
        </w:rPr>
        <w:t>Conclusion:</w:t>
      </w:r>
    </w:p>
    <w:p w:rsidR="004D5E6B" w:rsidRPr="00864C7D" w:rsidRDefault="004D5E6B" w:rsidP="004D5E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Internal Audit would like to thank </w:t>
      </w:r>
      <w:r w:rsidR="003B3742">
        <w:rPr>
          <w:rFonts w:asciiTheme="minorHAnsi" w:hAnsiTheme="minorHAnsi"/>
        </w:rPr>
        <w:t xml:space="preserve">the time of </w:t>
      </w:r>
      <w:r>
        <w:rPr>
          <w:rFonts w:asciiTheme="minorHAnsi" w:hAnsiTheme="minorHAnsi"/>
        </w:rPr>
        <w:t>University Senate Executive Committee, Academic Affairs, and Finance and Administration staff.  It was a pleasure to learn more in this area, and thank you for your</w:t>
      </w:r>
      <w:r w:rsidR="00C23D59">
        <w:rPr>
          <w:rFonts w:asciiTheme="minorHAnsi" w:hAnsiTheme="minorHAnsi"/>
        </w:rPr>
        <w:t xml:space="preserve"> on-going efforts to strive for</w:t>
      </w:r>
      <w:r>
        <w:rPr>
          <w:rFonts w:asciiTheme="minorHAnsi" w:hAnsiTheme="minorHAnsi"/>
        </w:rPr>
        <w:t xml:space="preserve"> continuous improvements.   </w:t>
      </w:r>
    </w:p>
    <w:p w:rsidR="00BA6198" w:rsidRPr="00864C7D" w:rsidRDefault="00BA6198" w:rsidP="00610B79">
      <w:pPr>
        <w:ind w:left="1440"/>
        <w:rPr>
          <w:rFonts w:asciiTheme="minorHAnsi" w:hAnsiTheme="minorHAnsi"/>
        </w:rPr>
      </w:pPr>
    </w:p>
    <w:p w:rsidR="00BA6198" w:rsidRDefault="00BA6198" w:rsidP="00BA6198">
      <w:pPr>
        <w:ind w:left="720"/>
        <w:rPr>
          <w:rFonts w:asciiTheme="minorHAnsi" w:hAnsiTheme="minorHAnsi"/>
        </w:rPr>
      </w:pPr>
    </w:p>
    <w:p w:rsidR="00BA6198" w:rsidRDefault="00BA6198" w:rsidP="00BA6198">
      <w:pPr>
        <w:ind w:left="720"/>
        <w:rPr>
          <w:rFonts w:asciiTheme="minorHAnsi" w:hAnsiTheme="minorHAnsi"/>
        </w:rPr>
      </w:pPr>
    </w:p>
    <w:p w:rsidR="00864C7D" w:rsidRPr="00864C7D" w:rsidRDefault="00864C7D" w:rsidP="00144ECA">
      <w:pPr>
        <w:rPr>
          <w:rFonts w:asciiTheme="minorHAnsi" w:hAnsiTheme="minorHAnsi"/>
        </w:rPr>
      </w:pPr>
    </w:p>
    <w:sectPr w:rsidR="00864C7D" w:rsidRPr="00864C7D" w:rsidSect="00A4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F4" w:rsidRDefault="009620F4">
      <w:r>
        <w:separator/>
      </w:r>
    </w:p>
  </w:endnote>
  <w:endnote w:type="continuationSeparator" w:id="0">
    <w:p w:rsidR="009620F4" w:rsidRDefault="0096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6B" w:rsidRDefault="004D5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626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525B" w:rsidRDefault="00B052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E56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E56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7A94" w:rsidRPr="00B0525B" w:rsidRDefault="00827A94" w:rsidP="00B05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6B" w:rsidRDefault="004D5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F4" w:rsidRDefault="009620F4">
      <w:r>
        <w:separator/>
      </w:r>
    </w:p>
  </w:footnote>
  <w:footnote w:type="continuationSeparator" w:id="0">
    <w:p w:rsidR="009620F4" w:rsidRDefault="0096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6B" w:rsidRDefault="00962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659" o:spid="_x0000_s2050" type="#_x0000_t136" style="position:absolute;margin-left:0;margin-top:0;width:468pt;height:187.2pt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  <w:gridCol w:w="5364"/>
    </w:tblGrid>
    <w:tr w:rsidR="00C86EED" w:rsidRPr="00C86EED" w:rsidTr="00C86EED">
      <w:trPr>
        <w:trHeight w:val="1440"/>
      </w:trPr>
      <w:tc>
        <w:tcPr>
          <w:tcW w:w="5616" w:type="dxa"/>
        </w:tcPr>
        <w:p w:rsidR="00C86EED" w:rsidRDefault="00C86EED" w:rsidP="00CA375D">
          <w:pPr>
            <w:pStyle w:val="Header"/>
            <w:tabs>
              <w:tab w:val="clear" w:pos="4320"/>
              <w:tab w:val="clear" w:pos="8640"/>
              <w:tab w:val="right" w:pos="9360"/>
            </w:tabs>
            <w:rPr>
              <w:b/>
            </w:rPr>
          </w:pPr>
          <w:r w:rsidRPr="00C86EED">
            <w:rPr>
              <w:b/>
              <w:noProof/>
            </w:rPr>
            <w:drawing>
              <wp:inline distT="0" distB="0" distL="0" distR="0">
                <wp:extent cx="2206918" cy="795597"/>
                <wp:effectExtent l="19050" t="0" r="2882" b="0"/>
                <wp:docPr id="3" name="Picture 4" descr="http://www2.gcsu.edu/images/official/GC%20logo%20(black)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2.gcsu.edu/images/official/GC%20logo%20(black)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420" cy="796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</w:tcPr>
        <w:p w:rsidR="00C86EED" w:rsidRPr="00C86EED" w:rsidRDefault="00C86EED" w:rsidP="00C86EED">
          <w:pPr>
            <w:pStyle w:val="Header"/>
            <w:jc w:val="right"/>
            <w:rPr>
              <w:sz w:val="22"/>
              <w:szCs w:val="22"/>
            </w:rPr>
          </w:pPr>
          <w:r w:rsidRPr="00C86EED">
            <w:rPr>
              <w:sz w:val="22"/>
              <w:szCs w:val="22"/>
            </w:rPr>
            <w:t>Office of Internal Audit and Advisory Services</w:t>
          </w:r>
        </w:p>
        <w:p w:rsidR="00C86EED" w:rsidRPr="00C86EED" w:rsidRDefault="00C86EED" w:rsidP="00C86EED">
          <w:pPr>
            <w:pStyle w:val="Header"/>
            <w:jc w:val="right"/>
            <w:rPr>
              <w:sz w:val="22"/>
              <w:szCs w:val="22"/>
            </w:rPr>
          </w:pPr>
          <w:r w:rsidRPr="00C86EED">
            <w:rPr>
              <w:sz w:val="22"/>
              <w:szCs w:val="22"/>
            </w:rPr>
            <w:tab/>
            <w:t>Campus Box 105</w:t>
          </w:r>
        </w:p>
        <w:p w:rsidR="00C86EED" w:rsidRPr="00C86EED" w:rsidRDefault="00C86EED" w:rsidP="00C86EED">
          <w:pPr>
            <w:pStyle w:val="Header"/>
            <w:jc w:val="right"/>
            <w:rPr>
              <w:sz w:val="22"/>
              <w:szCs w:val="22"/>
            </w:rPr>
          </w:pPr>
          <w:r w:rsidRPr="00C86EED">
            <w:rPr>
              <w:sz w:val="22"/>
              <w:szCs w:val="22"/>
            </w:rPr>
            <w:tab/>
            <w:t>Milledgeville, Georgia 31061-0190</w:t>
          </w:r>
        </w:p>
        <w:p w:rsidR="00C86EED" w:rsidRPr="00C86EED" w:rsidRDefault="00C86EED" w:rsidP="00C86EED">
          <w:pPr>
            <w:pStyle w:val="Header"/>
            <w:jc w:val="right"/>
            <w:rPr>
              <w:sz w:val="22"/>
              <w:szCs w:val="22"/>
            </w:rPr>
          </w:pPr>
          <w:r w:rsidRPr="00C86EED">
            <w:rPr>
              <w:sz w:val="22"/>
              <w:szCs w:val="22"/>
            </w:rPr>
            <w:tab/>
            <w:t>Phone (478) 445-1549</w:t>
          </w:r>
        </w:p>
        <w:p w:rsidR="00C86EED" w:rsidRPr="00C86EED" w:rsidRDefault="0009479F" w:rsidP="00C86EED">
          <w:pPr>
            <w:pStyle w:val="Head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Fax (478) 445-2510</w:t>
          </w:r>
        </w:p>
        <w:p w:rsidR="00C86EED" w:rsidRPr="00C86EED" w:rsidRDefault="00C86EED" w:rsidP="00C86EED">
          <w:pPr>
            <w:pStyle w:val="Head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22"/>
              <w:szCs w:val="22"/>
            </w:rPr>
          </w:pPr>
        </w:p>
      </w:tc>
    </w:tr>
  </w:tbl>
  <w:p w:rsidR="00827A94" w:rsidRPr="00CA375D" w:rsidRDefault="009620F4" w:rsidP="00C86EED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660" o:spid="_x0000_s2051" type="#_x0000_t136" style="position:absolute;margin-left:0;margin-top:0;width:468pt;height:187.2pt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6B" w:rsidRDefault="00962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658" o:spid="_x0000_s2049" type="#_x0000_t136" style="position:absolute;margin-left:0;margin-top:0;width:468pt;height:187.2pt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5E"/>
    <w:multiLevelType w:val="hybridMultilevel"/>
    <w:tmpl w:val="B8F41970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>
    <w:nsid w:val="0E6971AA"/>
    <w:multiLevelType w:val="hybridMultilevel"/>
    <w:tmpl w:val="D360939C"/>
    <w:lvl w:ilvl="0" w:tplc="FB64CB5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705F1"/>
    <w:multiLevelType w:val="hybridMultilevel"/>
    <w:tmpl w:val="2BAE1C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12021"/>
    <w:multiLevelType w:val="hybridMultilevel"/>
    <w:tmpl w:val="9F10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12CA"/>
    <w:multiLevelType w:val="hybridMultilevel"/>
    <w:tmpl w:val="1E5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04BC8"/>
    <w:multiLevelType w:val="hybridMultilevel"/>
    <w:tmpl w:val="A0A0C1A2"/>
    <w:lvl w:ilvl="0" w:tplc="FB64CB5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D295C"/>
    <w:multiLevelType w:val="hybridMultilevel"/>
    <w:tmpl w:val="C534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6E20"/>
    <w:multiLevelType w:val="hybridMultilevel"/>
    <w:tmpl w:val="1FA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4B52"/>
    <w:multiLevelType w:val="hybridMultilevel"/>
    <w:tmpl w:val="B98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1B48"/>
    <w:multiLevelType w:val="hybridMultilevel"/>
    <w:tmpl w:val="AAF4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167BC"/>
    <w:multiLevelType w:val="hybridMultilevel"/>
    <w:tmpl w:val="A4CE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76F8"/>
    <w:multiLevelType w:val="hybridMultilevel"/>
    <w:tmpl w:val="9AA40976"/>
    <w:lvl w:ilvl="0" w:tplc="FB64CB5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357A4"/>
    <w:multiLevelType w:val="hybridMultilevel"/>
    <w:tmpl w:val="DB8C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E4E38"/>
    <w:multiLevelType w:val="hybridMultilevel"/>
    <w:tmpl w:val="B6544EA0"/>
    <w:lvl w:ilvl="0" w:tplc="FB64CB5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FC1310"/>
    <w:multiLevelType w:val="hybridMultilevel"/>
    <w:tmpl w:val="54584740"/>
    <w:lvl w:ilvl="0" w:tplc="E7F0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EC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0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64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26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C4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66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21C1E"/>
    <w:multiLevelType w:val="hybridMultilevel"/>
    <w:tmpl w:val="688C4842"/>
    <w:lvl w:ilvl="0" w:tplc="FB64CB5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F7C99"/>
    <w:multiLevelType w:val="hybridMultilevel"/>
    <w:tmpl w:val="7654F1D0"/>
    <w:lvl w:ilvl="0" w:tplc="65168F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2BA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0D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236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4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62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9E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98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CE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0"/>
    <w:rsid w:val="00014053"/>
    <w:rsid w:val="00021ABE"/>
    <w:rsid w:val="000446FE"/>
    <w:rsid w:val="0005348C"/>
    <w:rsid w:val="00060194"/>
    <w:rsid w:val="0006392A"/>
    <w:rsid w:val="00070B21"/>
    <w:rsid w:val="00083931"/>
    <w:rsid w:val="0009479F"/>
    <w:rsid w:val="00095273"/>
    <w:rsid w:val="000D1D99"/>
    <w:rsid w:val="000E3F9F"/>
    <w:rsid w:val="000E5347"/>
    <w:rsid w:val="001037BC"/>
    <w:rsid w:val="001164CE"/>
    <w:rsid w:val="00120647"/>
    <w:rsid w:val="00121243"/>
    <w:rsid w:val="00144ECA"/>
    <w:rsid w:val="00155FF3"/>
    <w:rsid w:val="00163D85"/>
    <w:rsid w:val="00165E8B"/>
    <w:rsid w:val="00180DB2"/>
    <w:rsid w:val="0018680E"/>
    <w:rsid w:val="001A2E51"/>
    <w:rsid w:val="001B4E69"/>
    <w:rsid w:val="001C5CDE"/>
    <w:rsid w:val="001D715E"/>
    <w:rsid w:val="001E56F1"/>
    <w:rsid w:val="0020406D"/>
    <w:rsid w:val="00210EFE"/>
    <w:rsid w:val="002203B1"/>
    <w:rsid w:val="0022083B"/>
    <w:rsid w:val="00223774"/>
    <w:rsid w:val="002309D9"/>
    <w:rsid w:val="0023734C"/>
    <w:rsid w:val="0024248E"/>
    <w:rsid w:val="00261577"/>
    <w:rsid w:val="00263DB8"/>
    <w:rsid w:val="00264597"/>
    <w:rsid w:val="002744F6"/>
    <w:rsid w:val="00275304"/>
    <w:rsid w:val="00282ED9"/>
    <w:rsid w:val="00283AAE"/>
    <w:rsid w:val="00291820"/>
    <w:rsid w:val="002B65D6"/>
    <w:rsid w:val="002B6709"/>
    <w:rsid w:val="002B713C"/>
    <w:rsid w:val="002C031D"/>
    <w:rsid w:val="002C1FBB"/>
    <w:rsid w:val="002C2763"/>
    <w:rsid w:val="002C789C"/>
    <w:rsid w:val="002E0AAA"/>
    <w:rsid w:val="002E32ED"/>
    <w:rsid w:val="00313F88"/>
    <w:rsid w:val="00317EDD"/>
    <w:rsid w:val="0032194D"/>
    <w:rsid w:val="0033540E"/>
    <w:rsid w:val="00342F4B"/>
    <w:rsid w:val="00351A8A"/>
    <w:rsid w:val="00355302"/>
    <w:rsid w:val="00362365"/>
    <w:rsid w:val="00367355"/>
    <w:rsid w:val="0037129C"/>
    <w:rsid w:val="00382BFF"/>
    <w:rsid w:val="00394707"/>
    <w:rsid w:val="003A0C30"/>
    <w:rsid w:val="003A263E"/>
    <w:rsid w:val="003A3F1C"/>
    <w:rsid w:val="003B3742"/>
    <w:rsid w:val="003D7E77"/>
    <w:rsid w:val="003E2237"/>
    <w:rsid w:val="003E2F02"/>
    <w:rsid w:val="003E4A7F"/>
    <w:rsid w:val="003F01D9"/>
    <w:rsid w:val="003F0325"/>
    <w:rsid w:val="003F6CAA"/>
    <w:rsid w:val="003F7B44"/>
    <w:rsid w:val="004005ED"/>
    <w:rsid w:val="00406998"/>
    <w:rsid w:val="00410AEA"/>
    <w:rsid w:val="00411A6B"/>
    <w:rsid w:val="004205EA"/>
    <w:rsid w:val="0042176F"/>
    <w:rsid w:val="00426DB1"/>
    <w:rsid w:val="00427A12"/>
    <w:rsid w:val="0043321F"/>
    <w:rsid w:val="0044015D"/>
    <w:rsid w:val="00443C12"/>
    <w:rsid w:val="00445A73"/>
    <w:rsid w:val="004A0B4C"/>
    <w:rsid w:val="004A4768"/>
    <w:rsid w:val="004B04D6"/>
    <w:rsid w:val="004B312C"/>
    <w:rsid w:val="004C6B11"/>
    <w:rsid w:val="004D5E6B"/>
    <w:rsid w:val="004E3EB4"/>
    <w:rsid w:val="004E4329"/>
    <w:rsid w:val="00525146"/>
    <w:rsid w:val="00526F0B"/>
    <w:rsid w:val="00537A31"/>
    <w:rsid w:val="00546EA6"/>
    <w:rsid w:val="00547EB3"/>
    <w:rsid w:val="00580533"/>
    <w:rsid w:val="00585501"/>
    <w:rsid w:val="00587893"/>
    <w:rsid w:val="00594020"/>
    <w:rsid w:val="005A2BF0"/>
    <w:rsid w:val="005A3EFE"/>
    <w:rsid w:val="005A55CC"/>
    <w:rsid w:val="005C04EB"/>
    <w:rsid w:val="005D2A4D"/>
    <w:rsid w:val="005F460E"/>
    <w:rsid w:val="005F487F"/>
    <w:rsid w:val="00606156"/>
    <w:rsid w:val="00610B79"/>
    <w:rsid w:val="00615E2E"/>
    <w:rsid w:val="006170C3"/>
    <w:rsid w:val="006363BB"/>
    <w:rsid w:val="00640310"/>
    <w:rsid w:val="00644AE3"/>
    <w:rsid w:val="00667A56"/>
    <w:rsid w:val="00677C8E"/>
    <w:rsid w:val="00680163"/>
    <w:rsid w:val="00692B75"/>
    <w:rsid w:val="006B4397"/>
    <w:rsid w:val="006B53D7"/>
    <w:rsid w:val="006B7C9C"/>
    <w:rsid w:val="006C0FDD"/>
    <w:rsid w:val="006C440C"/>
    <w:rsid w:val="006C618C"/>
    <w:rsid w:val="006D2645"/>
    <w:rsid w:val="006D7EE4"/>
    <w:rsid w:val="006E3C36"/>
    <w:rsid w:val="00704F25"/>
    <w:rsid w:val="007355C6"/>
    <w:rsid w:val="00741D5C"/>
    <w:rsid w:val="00742017"/>
    <w:rsid w:val="00747952"/>
    <w:rsid w:val="0076455C"/>
    <w:rsid w:val="0076457D"/>
    <w:rsid w:val="00773D0A"/>
    <w:rsid w:val="00775152"/>
    <w:rsid w:val="007767B1"/>
    <w:rsid w:val="00785E9B"/>
    <w:rsid w:val="00796E29"/>
    <w:rsid w:val="007A1628"/>
    <w:rsid w:val="007A3DE9"/>
    <w:rsid w:val="007A57F3"/>
    <w:rsid w:val="007B2AFA"/>
    <w:rsid w:val="007B7601"/>
    <w:rsid w:val="007C6ADD"/>
    <w:rsid w:val="007D4F89"/>
    <w:rsid w:val="007E1D25"/>
    <w:rsid w:val="008038F4"/>
    <w:rsid w:val="00820445"/>
    <w:rsid w:val="00821D93"/>
    <w:rsid w:val="00824C6B"/>
    <w:rsid w:val="008258AF"/>
    <w:rsid w:val="00827A94"/>
    <w:rsid w:val="00835D9A"/>
    <w:rsid w:val="00854B25"/>
    <w:rsid w:val="00855070"/>
    <w:rsid w:val="00864C7D"/>
    <w:rsid w:val="008827F3"/>
    <w:rsid w:val="00884B70"/>
    <w:rsid w:val="00885F3A"/>
    <w:rsid w:val="00890F1D"/>
    <w:rsid w:val="00893D12"/>
    <w:rsid w:val="008A1A1D"/>
    <w:rsid w:val="008A4AC7"/>
    <w:rsid w:val="008A5087"/>
    <w:rsid w:val="008C7384"/>
    <w:rsid w:val="008E32FF"/>
    <w:rsid w:val="00901848"/>
    <w:rsid w:val="00902DB1"/>
    <w:rsid w:val="00920AC9"/>
    <w:rsid w:val="00936ECE"/>
    <w:rsid w:val="00943254"/>
    <w:rsid w:val="00954038"/>
    <w:rsid w:val="009541D8"/>
    <w:rsid w:val="009620F4"/>
    <w:rsid w:val="00963850"/>
    <w:rsid w:val="009701BB"/>
    <w:rsid w:val="00970FA2"/>
    <w:rsid w:val="009902B1"/>
    <w:rsid w:val="009947B8"/>
    <w:rsid w:val="009B0C7A"/>
    <w:rsid w:val="009B1659"/>
    <w:rsid w:val="009C44E9"/>
    <w:rsid w:val="009D5522"/>
    <w:rsid w:val="009E4D48"/>
    <w:rsid w:val="00A008BC"/>
    <w:rsid w:val="00A0391E"/>
    <w:rsid w:val="00A039DB"/>
    <w:rsid w:val="00A0521A"/>
    <w:rsid w:val="00A1457C"/>
    <w:rsid w:val="00A161E4"/>
    <w:rsid w:val="00A30069"/>
    <w:rsid w:val="00A326E0"/>
    <w:rsid w:val="00A371EC"/>
    <w:rsid w:val="00A407F9"/>
    <w:rsid w:val="00A412F1"/>
    <w:rsid w:val="00A42611"/>
    <w:rsid w:val="00A5089D"/>
    <w:rsid w:val="00A57D10"/>
    <w:rsid w:val="00A67AC8"/>
    <w:rsid w:val="00A7702D"/>
    <w:rsid w:val="00A86CBD"/>
    <w:rsid w:val="00AB1C49"/>
    <w:rsid w:val="00AD3005"/>
    <w:rsid w:val="00AF2BC9"/>
    <w:rsid w:val="00B0525B"/>
    <w:rsid w:val="00B1119F"/>
    <w:rsid w:val="00B16AB9"/>
    <w:rsid w:val="00B24AAA"/>
    <w:rsid w:val="00B53A45"/>
    <w:rsid w:val="00B663B5"/>
    <w:rsid w:val="00B81DF8"/>
    <w:rsid w:val="00B87DB4"/>
    <w:rsid w:val="00B9182C"/>
    <w:rsid w:val="00BA6198"/>
    <w:rsid w:val="00BB373C"/>
    <w:rsid w:val="00BD0425"/>
    <w:rsid w:val="00BD0B4D"/>
    <w:rsid w:val="00BD4718"/>
    <w:rsid w:val="00BD53A8"/>
    <w:rsid w:val="00BF4C15"/>
    <w:rsid w:val="00C16165"/>
    <w:rsid w:val="00C23D59"/>
    <w:rsid w:val="00C24FF7"/>
    <w:rsid w:val="00C3059B"/>
    <w:rsid w:val="00C311CE"/>
    <w:rsid w:val="00C36C5F"/>
    <w:rsid w:val="00C448BA"/>
    <w:rsid w:val="00C4491C"/>
    <w:rsid w:val="00C45CF0"/>
    <w:rsid w:val="00C52CA6"/>
    <w:rsid w:val="00C557C1"/>
    <w:rsid w:val="00C723AD"/>
    <w:rsid w:val="00C76316"/>
    <w:rsid w:val="00C86EED"/>
    <w:rsid w:val="00C924D9"/>
    <w:rsid w:val="00C966AE"/>
    <w:rsid w:val="00CA2A91"/>
    <w:rsid w:val="00CA375D"/>
    <w:rsid w:val="00CB3B63"/>
    <w:rsid w:val="00CC1578"/>
    <w:rsid w:val="00CC190F"/>
    <w:rsid w:val="00CD51C1"/>
    <w:rsid w:val="00D0526E"/>
    <w:rsid w:val="00D07C18"/>
    <w:rsid w:val="00D3513B"/>
    <w:rsid w:val="00D35931"/>
    <w:rsid w:val="00D51D11"/>
    <w:rsid w:val="00D51E08"/>
    <w:rsid w:val="00D749BB"/>
    <w:rsid w:val="00DA5D87"/>
    <w:rsid w:val="00DB7022"/>
    <w:rsid w:val="00DC0673"/>
    <w:rsid w:val="00DE63AB"/>
    <w:rsid w:val="00DF2CCB"/>
    <w:rsid w:val="00E06473"/>
    <w:rsid w:val="00E12D4A"/>
    <w:rsid w:val="00E146AE"/>
    <w:rsid w:val="00E15140"/>
    <w:rsid w:val="00E222B3"/>
    <w:rsid w:val="00E22ED3"/>
    <w:rsid w:val="00E262F1"/>
    <w:rsid w:val="00E43035"/>
    <w:rsid w:val="00E56672"/>
    <w:rsid w:val="00E56D2E"/>
    <w:rsid w:val="00E74A59"/>
    <w:rsid w:val="00ED5A07"/>
    <w:rsid w:val="00ED79AB"/>
    <w:rsid w:val="00EE0790"/>
    <w:rsid w:val="00EE2A45"/>
    <w:rsid w:val="00F070CC"/>
    <w:rsid w:val="00F07940"/>
    <w:rsid w:val="00F301C0"/>
    <w:rsid w:val="00F322FB"/>
    <w:rsid w:val="00F3564C"/>
    <w:rsid w:val="00F374C6"/>
    <w:rsid w:val="00F7038D"/>
    <w:rsid w:val="00F93467"/>
    <w:rsid w:val="00F94C93"/>
    <w:rsid w:val="00F959F0"/>
    <w:rsid w:val="00FB20E9"/>
    <w:rsid w:val="00FE6338"/>
    <w:rsid w:val="00FF36B0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7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C15"/>
    <w:pPr>
      <w:ind w:left="720"/>
      <w:contextualSpacing/>
    </w:pPr>
  </w:style>
  <w:style w:type="character" w:styleId="Hyperlink">
    <w:name w:val="Hyperlink"/>
    <w:rsid w:val="00BD0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7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C15"/>
    <w:pPr>
      <w:ind w:left="720"/>
      <w:contextualSpacing/>
    </w:pPr>
  </w:style>
  <w:style w:type="character" w:styleId="Hyperlink">
    <w:name w:val="Hyperlink"/>
    <w:rsid w:val="00BD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661">
          <w:marLeft w:val="201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071">
          <w:marLeft w:val="201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41">
          <w:marLeft w:val="2016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590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445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48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35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670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96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790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43">
          <w:marLeft w:val="158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C53A-83B3-4473-9E53-A55C8F5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GCSU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Gillis</dc:creator>
  <cp:lastModifiedBy>Susan Steele</cp:lastModifiedBy>
  <cp:revision>2</cp:revision>
  <cp:lastPrinted>2015-02-26T18:51:00Z</cp:lastPrinted>
  <dcterms:created xsi:type="dcterms:W3CDTF">2015-02-26T19:14:00Z</dcterms:created>
  <dcterms:modified xsi:type="dcterms:W3CDTF">2015-02-26T19:14:00Z</dcterms:modified>
</cp:coreProperties>
</file>