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38" w:rsidRPr="00631950" w:rsidRDefault="00631950" w:rsidP="00631950">
      <w:pPr>
        <w:spacing w:after="0"/>
        <w:jc w:val="center"/>
        <w:rPr>
          <w:rFonts w:ascii="Times New Roman" w:hAnsi="Times New Roman" w:cs="Times New Roman"/>
          <w:b/>
          <w:sz w:val="44"/>
          <w:szCs w:val="44"/>
        </w:rPr>
      </w:pPr>
      <w:bookmarkStart w:id="0" w:name="_GoBack"/>
      <w:bookmarkEnd w:id="0"/>
      <w:r w:rsidRPr="00631950">
        <w:rPr>
          <w:rFonts w:ascii="Times New Roman" w:hAnsi="Times New Roman" w:cs="Times New Roman"/>
          <w:b/>
          <w:sz w:val="44"/>
          <w:szCs w:val="44"/>
        </w:rPr>
        <w:t>UNIVERSITY SENATE STEERING GUIDANCE</w:t>
      </w:r>
    </w:p>
    <w:tbl>
      <w:tblPr>
        <w:tblStyle w:val="TableGrid"/>
        <w:tblW w:w="0" w:type="auto"/>
        <w:tblLook w:val="04A0" w:firstRow="1" w:lastRow="0" w:firstColumn="1" w:lastColumn="0" w:noHBand="0" w:noVBand="1"/>
      </w:tblPr>
      <w:tblGrid>
        <w:gridCol w:w="2178"/>
        <w:gridCol w:w="9000"/>
      </w:tblGrid>
      <w:tr w:rsidR="00631950" w:rsidTr="0026766A">
        <w:tc>
          <w:tcPr>
            <w:tcW w:w="2178" w:type="dxa"/>
          </w:tcPr>
          <w:p w:rsidR="00631950" w:rsidRPr="00631950" w:rsidRDefault="00631950" w:rsidP="00631950">
            <w:pPr>
              <w:jc w:val="center"/>
              <w:rPr>
                <w:rFonts w:ascii="Times New Roman" w:hAnsi="Times New Roman" w:cs="Times New Roman"/>
                <w:b/>
                <w:sz w:val="40"/>
                <w:szCs w:val="40"/>
              </w:rPr>
            </w:pPr>
            <w:r w:rsidRPr="00631950">
              <w:rPr>
                <w:rFonts w:ascii="Times New Roman" w:hAnsi="Times New Roman" w:cs="Times New Roman"/>
                <w:b/>
                <w:sz w:val="40"/>
                <w:szCs w:val="40"/>
              </w:rPr>
              <w:t>Committee</w:t>
            </w:r>
          </w:p>
        </w:tc>
        <w:tc>
          <w:tcPr>
            <w:tcW w:w="9000" w:type="dxa"/>
          </w:tcPr>
          <w:p w:rsidR="00631950" w:rsidRPr="00631950" w:rsidRDefault="00631950" w:rsidP="00631950">
            <w:pPr>
              <w:jc w:val="center"/>
              <w:rPr>
                <w:rFonts w:ascii="Times New Roman" w:hAnsi="Times New Roman" w:cs="Times New Roman"/>
                <w:b/>
                <w:sz w:val="40"/>
                <w:szCs w:val="40"/>
              </w:rPr>
            </w:pPr>
            <w:r w:rsidRPr="00631950">
              <w:rPr>
                <w:rFonts w:ascii="Times New Roman" w:hAnsi="Times New Roman" w:cs="Times New Roman"/>
                <w:b/>
                <w:sz w:val="40"/>
                <w:szCs w:val="40"/>
              </w:rPr>
              <w:t>Scope (from Bylaws) of Committee</w:t>
            </w:r>
          </w:p>
        </w:tc>
      </w:tr>
      <w:tr w:rsidR="00631950" w:rsidTr="0026766A">
        <w:tc>
          <w:tcPr>
            <w:tcW w:w="2178" w:type="dxa"/>
          </w:tcPr>
          <w:p w:rsidR="00631950" w:rsidRDefault="00631950" w:rsidP="00631950">
            <w:pPr>
              <w:jc w:val="center"/>
              <w:rPr>
                <w:rFonts w:ascii="Times New Roman" w:hAnsi="Times New Roman" w:cs="Times New Roman"/>
                <w:b/>
                <w:sz w:val="44"/>
                <w:szCs w:val="44"/>
              </w:rPr>
            </w:pPr>
            <w:r w:rsidRPr="00631950">
              <w:rPr>
                <w:rFonts w:ascii="Times New Roman" w:hAnsi="Times New Roman" w:cs="Times New Roman"/>
                <w:b/>
                <w:sz w:val="44"/>
                <w:szCs w:val="44"/>
              </w:rPr>
              <w:t>APC</w:t>
            </w:r>
          </w:p>
          <w:p w:rsidR="00631950" w:rsidRPr="0026766A" w:rsidRDefault="00631950" w:rsidP="00592AA8">
            <w:pPr>
              <w:jc w:val="center"/>
              <w:rPr>
                <w:rFonts w:ascii="Times New Roman" w:hAnsi="Times New Roman" w:cs="Times New Roman"/>
                <w:b/>
                <w:sz w:val="20"/>
                <w:szCs w:val="20"/>
              </w:rPr>
            </w:pPr>
            <w:r w:rsidRPr="0026766A">
              <w:rPr>
                <w:rFonts w:ascii="Times New Roman" w:hAnsi="Times New Roman" w:cs="Times New Roman"/>
                <w:b/>
                <w:sz w:val="20"/>
                <w:szCs w:val="20"/>
              </w:rPr>
              <w:t>(</w:t>
            </w:r>
            <w:r w:rsidR="0026766A" w:rsidRPr="0026766A">
              <w:rPr>
                <w:rFonts w:ascii="Times New Roman" w:hAnsi="Times New Roman" w:cs="Times New Roman"/>
                <w:b/>
                <w:sz w:val="20"/>
                <w:szCs w:val="20"/>
              </w:rPr>
              <w:t xml:space="preserve">The </w:t>
            </w:r>
            <w:r w:rsidR="00592AA8">
              <w:rPr>
                <w:rFonts w:ascii="Times New Roman" w:hAnsi="Times New Roman" w:cs="Times New Roman"/>
                <w:b/>
                <w:sz w:val="20"/>
                <w:szCs w:val="20"/>
              </w:rPr>
              <w:t>“e</w:t>
            </w:r>
            <w:r w:rsidRPr="0026766A">
              <w:rPr>
                <w:rFonts w:ascii="Times New Roman" w:hAnsi="Times New Roman" w:cs="Times New Roman"/>
                <w:b/>
                <w:sz w:val="20"/>
                <w:szCs w:val="20"/>
              </w:rPr>
              <w:t xml:space="preserve">verything </w:t>
            </w:r>
            <w:r w:rsidR="00592AA8">
              <w:rPr>
                <w:rFonts w:ascii="Times New Roman" w:hAnsi="Times New Roman" w:cs="Times New Roman"/>
                <w:b/>
                <w:sz w:val="20"/>
                <w:szCs w:val="20"/>
              </w:rPr>
              <w:t>e</w:t>
            </w:r>
            <w:r w:rsidRPr="0026766A">
              <w:rPr>
                <w:rFonts w:ascii="Times New Roman" w:hAnsi="Times New Roman" w:cs="Times New Roman"/>
                <w:b/>
                <w:sz w:val="20"/>
                <w:szCs w:val="20"/>
              </w:rPr>
              <w:t>lse</w:t>
            </w:r>
            <w:r w:rsidR="00592AA8">
              <w:rPr>
                <w:rFonts w:ascii="Times New Roman" w:hAnsi="Times New Roman" w:cs="Times New Roman"/>
                <w:b/>
                <w:sz w:val="20"/>
                <w:szCs w:val="20"/>
              </w:rPr>
              <w:t>”</w:t>
            </w:r>
            <w:r w:rsidR="0026766A" w:rsidRPr="0026766A">
              <w:rPr>
                <w:rFonts w:ascii="Times New Roman" w:hAnsi="Times New Roman" w:cs="Times New Roman"/>
                <w:b/>
                <w:sz w:val="20"/>
                <w:szCs w:val="20"/>
              </w:rPr>
              <w:t xml:space="preserve"> </w:t>
            </w:r>
            <w:r w:rsidR="00592AA8">
              <w:rPr>
                <w:rFonts w:ascii="Times New Roman" w:hAnsi="Times New Roman" w:cs="Times New Roman"/>
                <w:b/>
                <w:sz w:val="20"/>
                <w:szCs w:val="20"/>
              </w:rPr>
              <w:t>c</w:t>
            </w:r>
            <w:r w:rsidR="0026766A" w:rsidRPr="0026766A">
              <w:rPr>
                <w:rFonts w:ascii="Times New Roman" w:hAnsi="Times New Roman" w:cs="Times New Roman"/>
                <w:b/>
                <w:sz w:val="20"/>
                <w:szCs w:val="20"/>
              </w:rPr>
              <w:t xml:space="preserve">ommittee for </w:t>
            </w:r>
            <w:r w:rsidR="00592AA8">
              <w:rPr>
                <w:rFonts w:ascii="Times New Roman" w:hAnsi="Times New Roman" w:cs="Times New Roman"/>
                <w:b/>
                <w:sz w:val="20"/>
                <w:szCs w:val="20"/>
              </w:rPr>
              <w:t>a</w:t>
            </w:r>
            <w:r w:rsidRPr="0026766A">
              <w:rPr>
                <w:rFonts w:ascii="Times New Roman" w:hAnsi="Times New Roman" w:cs="Times New Roman"/>
                <w:b/>
                <w:sz w:val="20"/>
                <w:szCs w:val="20"/>
              </w:rPr>
              <w:t xml:space="preserve">cademic </w:t>
            </w:r>
            <w:r w:rsidR="00592AA8">
              <w:rPr>
                <w:rFonts w:ascii="Times New Roman" w:hAnsi="Times New Roman" w:cs="Times New Roman"/>
                <w:b/>
                <w:sz w:val="20"/>
                <w:szCs w:val="20"/>
              </w:rPr>
              <w:t>p</w:t>
            </w:r>
            <w:r w:rsidR="0026766A" w:rsidRPr="0026766A">
              <w:rPr>
                <w:rFonts w:ascii="Times New Roman" w:hAnsi="Times New Roman" w:cs="Times New Roman"/>
                <w:b/>
                <w:sz w:val="20"/>
                <w:szCs w:val="20"/>
              </w:rPr>
              <w:t>olicy</w:t>
            </w:r>
            <w:r w:rsidR="0026766A">
              <w:rPr>
                <w:rFonts w:ascii="Times New Roman" w:hAnsi="Times New Roman" w:cs="Times New Roman"/>
                <w:b/>
                <w:sz w:val="20"/>
                <w:szCs w:val="20"/>
              </w:rPr>
              <w:t xml:space="preserve">. If it’s academic policy and not </w:t>
            </w:r>
            <w:r w:rsidR="00592AA8">
              <w:rPr>
                <w:rFonts w:ascii="Times New Roman" w:hAnsi="Times New Roman" w:cs="Times New Roman"/>
                <w:b/>
                <w:sz w:val="20"/>
                <w:szCs w:val="20"/>
              </w:rPr>
              <w:t xml:space="preserve">in the scope of </w:t>
            </w:r>
            <w:r w:rsidR="0026766A">
              <w:rPr>
                <w:rFonts w:ascii="Times New Roman" w:hAnsi="Times New Roman" w:cs="Times New Roman"/>
                <w:b/>
                <w:sz w:val="20"/>
                <w:szCs w:val="20"/>
              </w:rPr>
              <w:t>CAPC</w:t>
            </w:r>
            <w:r w:rsidR="00592AA8">
              <w:rPr>
                <w:rFonts w:ascii="Times New Roman" w:hAnsi="Times New Roman" w:cs="Times New Roman"/>
                <w:b/>
                <w:sz w:val="20"/>
                <w:szCs w:val="20"/>
              </w:rPr>
              <w:t xml:space="preserve"> or</w:t>
            </w:r>
            <w:r w:rsidR="0026766A">
              <w:rPr>
                <w:rFonts w:ascii="Times New Roman" w:hAnsi="Times New Roman" w:cs="Times New Roman"/>
                <w:b/>
                <w:sz w:val="20"/>
                <w:szCs w:val="20"/>
              </w:rPr>
              <w:t xml:space="preserve"> FAPC, then </w:t>
            </w:r>
            <w:r w:rsidR="00592AA8">
              <w:rPr>
                <w:rFonts w:ascii="Times New Roman" w:hAnsi="Times New Roman" w:cs="Times New Roman"/>
                <w:b/>
                <w:sz w:val="20"/>
                <w:szCs w:val="20"/>
              </w:rPr>
              <w:t>it goes</w:t>
            </w:r>
            <w:r w:rsidR="0026766A">
              <w:rPr>
                <w:rFonts w:ascii="Times New Roman" w:hAnsi="Times New Roman" w:cs="Times New Roman"/>
                <w:b/>
                <w:sz w:val="20"/>
                <w:szCs w:val="20"/>
              </w:rPr>
              <w:t xml:space="preserve"> to APC</w:t>
            </w:r>
            <w:r w:rsidR="00592AA8">
              <w:rPr>
                <w:rFonts w:ascii="Times New Roman" w:hAnsi="Times New Roman" w:cs="Times New Roman"/>
                <w:b/>
                <w:sz w:val="20"/>
                <w:szCs w:val="20"/>
              </w:rPr>
              <w:t>.</w:t>
            </w:r>
            <w:r w:rsidRPr="0026766A">
              <w:rPr>
                <w:rFonts w:ascii="Times New Roman" w:hAnsi="Times New Roman" w:cs="Times New Roman"/>
                <w:b/>
                <w:sz w:val="20"/>
                <w:szCs w:val="20"/>
              </w:rPr>
              <w:t>)</w:t>
            </w:r>
          </w:p>
        </w:tc>
        <w:tc>
          <w:tcPr>
            <w:tcW w:w="9000" w:type="dxa"/>
          </w:tcPr>
          <w:p w:rsidR="00631950" w:rsidRPr="00631950" w:rsidRDefault="00631950" w:rsidP="00631950">
            <w:pPr>
              <w:pStyle w:val="artsecsubsubsub"/>
              <w:ind w:left="252"/>
              <w:jc w:val="both"/>
            </w:pPr>
            <w:r w:rsidRPr="00631950">
              <w:t xml:space="preserve">V.Section2.C.1.b. </w:t>
            </w:r>
            <w:r w:rsidRPr="00631950">
              <w:rPr>
                <w:i/>
                <w:iCs/>
                <w:u w:val="single"/>
              </w:rPr>
              <w:t>Scope</w:t>
            </w:r>
            <w:r w:rsidRPr="00631950">
              <w:rPr>
                <w:i/>
                <w:iCs/>
              </w:rPr>
              <w:t>.</w:t>
            </w:r>
            <w:r w:rsidRPr="00631950">
              <w:t xml:space="preserve"> 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w:t>
            </w:r>
          </w:p>
        </w:tc>
      </w:tr>
      <w:tr w:rsidR="00631950" w:rsidTr="0026766A">
        <w:tc>
          <w:tcPr>
            <w:tcW w:w="2178" w:type="dxa"/>
          </w:tcPr>
          <w:p w:rsidR="00631950" w:rsidRDefault="00631950" w:rsidP="00631950">
            <w:pPr>
              <w:jc w:val="center"/>
              <w:rPr>
                <w:rFonts w:ascii="Times New Roman" w:hAnsi="Times New Roman" w:cs="Times New Roman"/>
                <w:b/>
                <w:sz w:val="44"/>
                <w:szCs w:val="44"/>
              </w:rPr>
            </w:pPr>
            <w:r w:rsidRPr="00631950">
              <w:rPr>
                <w:rFonts w:ascii="Times New Roman" w:hAnsi="Times New Roman" w:cs="Times New Roman"/>
                <w:b/>
                <w:sz w:val="44"/>
                <w:szCs w:val="44"/>
              </w:rPr>
              <w:t>CAPC</w:t>
            </w:r>
          </w:p>
          <w:p w:rsidR="0026766A" w:rsidRPr="00631950" w:rsidRDefault="0026766A" w:rsidP="00592AA8">
            <w:pPr>
              <w:jc w:val="center"/>
              <w:rPr>
                <w:rFonts w:ascii="Times New Roman" w:hAnsi="Times New Roman" w:cs="Times New Roman"/>
                <w:b/>
                <w:sz w:val="44"/>
                <w:szCs w:val="44"/>
              </w:rPr>
            </w:pPr>
            <w:r w:rsidRPr="0026766A">
              <w:rPr>
                <w:rFonts w:ascii="Times New Roman" w:hAnsi="Times New Roman" w:cs="Times New Roman"/>
                <w:b/>
                <w:sz w:val="24"/>
                <w:szCs w:val="24"/>
              </w:rPr>
              <w:t>(</w:t>
            </w:r>
            <w:r w:rsidR="00592AA8">
              <w:rPr>
                <w:rFonts w:ascii="Times New Roman" w:hAnsi="Times New Roman" w:cs="Times New Roman"/>
                <w:b/>
                <w:sz w:val="24"/>
                <w:szCs w:val="24"/>
              </w:rPr>
              <w:t>c</w:t>
            </w:r>
            <w:r>
              <w:rPr>
                <w:rFonts w:ascii="Times New Roman" w:hAnsi="Times New Roman" w:cs="Times New Roman"/>
                <w:b/>
                <w:sz w:val="24"/>
                <w:szCs w:val="24"/>
              </w:rPr>
              <w:t xml:space="preserve">onsiders </w:t>
            </w:r>
            <w:r w:rsidR="00592AA8">
              <w:rPr>
                <w:rFonts w:ascii="Times New Roman" w:hAnsi="Times New Roman" w:cs="Times New Roman"/>
                <w:b/>
                <w:sz w:val="24"/>
                <w:szCs w:val="24"/>
              </w:rPr>
              <w:t>a</w:t>
            </w:r>
            <w:r>
              <w:rPr>
                <w:rFonts w:ascii="Times New Roman" w:hAnsi="Times New Roman" w:cs="Times New Roman"/>
                <w:b/>
                <w:sz w:val="24"/>
                <w:szCs w:val="24"/>
              </w:rPr>
              <w:t xml:space="preserve">cademic </w:t>
            </w:r>
            <w:r w:rsidR="00592AA8">
              <w:rPr>
                <w:rFonts w:ascii="Times New Roman" w:hAnsi="Times New Roman" w:cs="Times New Roman"/>
                <w:b/>
                <w:sz w:val="24"/>
                <w:szCs w:val="24"/>
              </w:rPr>
              <w:t>p</w:t>
            </w:r>
            <w:r>
              <w:rPr>
                <w:rFonts w:ascii="Times New Roman" w:hAnsi="Times New Roman" w:cs="Times New Roman"/>
                <w:b/>
                <w:sz w:val="24"/>
                <w:szCs w:val="24"/>
              </w:rPr>
              <w:t xml:space="preserve">olicy that relates to </w:t>
            </w:r>
            <w:r w:rsidR="00592AA8">
              <w:rPr>
                <w:rFonts w:ascii="Times New Roman" w:hAnsi="Times New Roman" w:cs="Times New Roman"/>
                <w:b/>
                <w:sz w:val="24"/>
                <w:szCs w:val="24"/>
              </w:rPr>
              <w:t>c</w:t>
            </w:r>
            <w:r>
              <w:rPr>
                <w:rFonts w:ascii="Times New Roman" w:hAnsi="Times New Roman" w:cs="Times New Roman"/>
                <w:b/>
                <w:sz w:val="24"/>
                <w:szCs w:val="24"/>
              </w:rPr>
              <w:t xml:space="preserve">urriculum and </w:t>
            </w:r>
            <w:r w:rsidR="00592AA8">
              <w:rPr>
                <w:rFonts w:ascii="Times New Roman" w:hAnsi="Times New Roman" w:cs="Times New Roman"/>
                <w:b/>
                <w:sz w:val="24"/>
                <w:szCs w:val="24"/>
              </w:rPr>
              <w:t>a</w:t>
            </w:r>
            <w:r>
              <w:rPr>
                <w:rFonts w:ascii="Times New Roman" w:hAnsi="Times New Roman" w:cs="Times New Roman"/>
                <w:b/>
                <w:sz w:val="24"/>
                <w:szCs w:val="24"/>
              </w:rPr>
              <w:t>ssessment)</w:t>
            </w:r>
          </w:p>
        </w:tc>
        <w:tc>
          <w:tcPr>
            <w:tcW w:w="9000" w:type="dxa"/>
          </w:tcPr>
          <w:p w:rsidR="00631950" w:rsidRPr="00631950" w:rsidRDefault="00631950" w:rsidP="00C76346">
            <w:pPr>
              <w:ind w:left="252" w:hanging="252"/>
              <w:jc w:val="both"/>
              <w:rPr>
                <w:rFonts w:ascii="Times New Roman" w:hAnsi="Times New Roman" w:cs="Times New Roman"/>
                <w:sz w:val="24"/>
                <w:szCs w:val="24"/>
              </w:rPr>
            </w:pPr>
            <w:r w:rsidRPr="00631950">
              <w:rPr>
                <w:rFonts w:ascii="Times New Roman" w:hAnsi="Times New Roman" w:cs="Times New Roman"/>
                <w:sz w:val="24"/>
                <w:szCs w:val="24"/>
              </w:rPr>
              <w:t xml:space="preserve">V.Section2.C.2.b. </w:t>
            </w:r>
            <w:r w:rsidRPr="00631950">
              <w:rPr>
                <w:rFonts w:ascii="Times New Roman" w:hAnsi="Times New Roman" w:cs="Times New Roman"/>
                <w:i/>
                <w:iCs/>
                <w:sz w:val="24"/>
                <w:szCs w:val="24"/>
                <w:u w:val="single"/>
              </w:rPr>
              <w:t>Scope</w:t>
            </w:r>
            <w:r w:rsidRPr="00631950">
              <w:rPr>
                <w:rFonts w:ascii="Times New Roman" w:hAnsi="Times New Roman" w:cs="Times New Roman"/>
                <w:i/>
                <w:iCs/>
                <w:sz w:val="24"/>
                <w:szCs w:val="24"/>
              </w:rPr>
              <w:t>.</w:t>
            </w:r>
            <w:r w:rsidRPr="00631950">
              <w:rPr>
                <w:rFonts w:ascii="Times New Roman" w:hAnsi="Times New Roman" w:cs="Times New Roman"/>
                <w:sz w:val="24"/>
                <w:szCs w:val="24"/>
              </w:rPr>
              <w:t xml:space="preserve"> 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p>
        </w:tc>
      </w:tr>
      <w:tr w:rsidR="00631950" w:rsidTr="0026766A">
        <w:tc>
          <w:tcPr>
            <w:tcW w:w="2178" w:type="dxa"/>
          </w:tcPr>
          <w:p w:rsidR="00631950" w:rsidRDefault="00631950" w:rsidP="00631950">
            <w:pPr>
              <w:jc w:val="center"/>
              <w:rPr>
                <w:rFonts w:ascii="Times New Roman" w:hAnsi="Times New Roman" w:cs="Times New Roman"/>
                <w:b/>
                <w:sz w:val="44"/>
                <w:szCs w:val="44"/>
              </w:rPr>
            </w:pPr>
            <w:r w:rsidRPr="00631950">
              <w:rPr>
                <w:rFonts w:ascii="Times New Roman" w:hAnsi="Times New Roman" w:cs="Times New Roman"/>
                <w:b/>
                <w:sz w:val="44"/>
                <w:szCs w:val="44"/>
              </w:rPr>
              <w:t>FAPC</w:t>
            </w:r>
          </w:p>
          <w:p w:rsidR="0026766A" w:rsidRPr="00631950" w:rsidRDefault="0026766A" w:rsidP="00592AA8">
            <w:pPr>
              <w:jc w:val="center"/>
              <w:rPr>
                <w:rFonts w:ascii="Times New Roman" w:hAnsi="Times New Roman" w:cs="Times New Roman"/>
                <w:b/>
                <w:sz w:val="44"/>
                <w:szCs w:val="44"/>
              </w:rPr>
            </w:pPr>
            <w:r w:rsidRPr="0026766A">
              <w:rPr>
                <w:rFonts w:ascii="Times New Roman" w:hAnsi="Times New Roman" w:cs="Times New Roman"/>
                <w:b/>
                <w:sz w:val="24"/>
                <w:szCs w:val="24"/>
              </w:rPr>
              <w:t>(</w:t>
            </w:r>
            <w:r w:rsidR="00592AA8">
              <w:rPr>
                <w:rFonts w:ascii="Times New Roman" w:hAnsi="Times New Roman" w:cs="Times New Roman"/>
                <w:b/>
                <w:sz w:val="24"/>
                <w:szCs w:val="24"/>
              </w:rPr>
              <w:t>c</w:t>
            </w:r>
            <w:r>
              <w:rPr>
                <w:rFonts w:ascii="Times New Roman" w:hAnsi="Times New Roman" w:cs="Times New Roman"/>
                <w:b/>
                <w:sz w:val="24"/>
                <w:szCs w:val="24"/>
              </w:rPr>
              <w:t xml:space="preserve">onsiders </w:t>
            </w:r>
            <w:r w:rsidR="00592AA8">
              <w:rPr>
                <w:rFonts w:ascii="Times New Roman" w:hAnsi="Times New Roman" w:cs="Times New Roman"/>
                <w:b/>
                <w:sz w:val="24"/>
                <w:szCs w:val="24"/>
              </w:rPr>
              <w:t>a</w:t>
            </w:r>
            <w:r>
              <w:rPr>
                <w:rFonts w:ascii="Times New Roman" w:hAnsi="Times New Roman" w:cs="Times New Roman"/>
                <w:b/>
                <w:sz w:val="24"/>
                <w:szCs w:val="24"/>
              </w:rPr>
              <w:t xml:space="preserve">cademic </w:t>
            </w:r>
            <w:r w:rsidR="00592AA8">
              <w:rPr>
                <w:rFonts w:ascii="Times New Roman" w:hAnsi="Times New Roman" w:cs="Times New Roman"/>
                <w:b/>
                <w:sz w:val="24"/>
                <w:szCs w:val="24"/>
              </w:rPr>
              <w:t>p</w:t>
            </w:r>
            <w:r>
              <w:rPr>
                <w:rFonts w:ascii="Times New Roman" w:hAnsi="Times New Roman" w:cs="Times New Roman"/>
                <w:b/>
                <w:sz w:val="24"/>
                <w:szCs w:val="24"/>
              </w:rPr>
              <w:t xml:space="preserve">olicy that relates to </w:t>
            </w:r>
            <w:r w:rsidR="00592AA8">
              <w:rPr>
                <w:rFonts w:ascii="Times New Roman" w:hAnsi="Times New Roman" w:cs="Times New Roman"/>
                <w:b/>
                <w:sz w:val="24"/>
                <w:szCs w:val="24"/>
              </w:rPr>
              <w:t>f</w:t>
            </w:r>
            <w:r>
              <w:rPr>
                <w:rFonts w:ascii="Times New Roman" w:hAnsi="Times New Roman" w:cs="Times New Roman"/>
                <w:b/>
                <w:sz w:val="24"/>
                <w:szCs w:val="24"/>
              </w:rPr>
              <w:t xml:space="preserve">aculty </w:t>
            </w:r>
            <w:r w:rsidR="00592AA8">
              <w:rPr>
                <w:rFonts w:ascii="Times New Roman" w:hAnsi="Times New Roman" w:cs="Times New Roman"/>
                <w:b/>
                <w:sz w:val="24"/>
                <w:szCs w:val="24"/>
              </w:rPr>
              <w:t>w</w:t>
            </w:r>
            <w:r>
              <w:rPr>
                <w:rFonts w:ascii="Times New Roman" w:hAnsi="Times New Roman" w:cs="Times New Roman"/>
                <w:b/>
                <w:sz w:val="24"/>
                <w:szCs w:val="24"/>
              </w:rPr>
              <w:t>elfare</w:t>
            </w:r>
            <w:r w:rsidRPr="0026766A">
              <w:rPr>
                <w:rFonts w:ascii="Times New Roman" w:hAnsi="Times New Roman" w:cs="Times New Roman"/>
                <w:b/>
                <w:sz w:val="24"/>
                <w:szCs w:val="24"/>
              </w:rPr>
              <w:t>)</w:t>
            </w:r>
          </w:p>
        </w:tc>
        <w:tc>
          <w:tcPr>
            <w:tcW w:w="9000" w:type="dxa"/>
          </w:tcPr>
          <w:p w:rsidR="00631950" w:rsidRPr="00631950" w:rsidRDefault="00631950" w:rsidP="00631950">
            <w:pPr>
              <w:pStyle w:val="artsecsubsubsub"/>
              <w:ind w:left="252"/>
              <w:jc w:val="both"/>
            </w:pPr>
            <w:r w:rsidRPr="00631950">
              <w:t xml:space="preserve">V.Section2.C.3.b. </w:t>
            </w:r>
            <w:r w:rsidRPr="00631950">
              <w:rPr>
                <w:i/>
                <w:iCs/>
                <w:u w:val="single"/>
              </w:rPr>
              <w:t>Scope</w:t>
            </w:r>
            <w:r w:rsidRPr="00631950">
              <w:rPr>
                <w:i/>
                <w:iCs/>
              </w:rPr>
              <w:t>.</w:t>
            </w:r>
            <w:r w:rsidRPr="00631950">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p>
        </w:tc>
      </w:tr>
      <w:tr w:rsidR="00631950" w:rsidTr="0026766A">
        <w:tc>
          <w:tcPr>
            <w:tcW w:w="2178" w:type="dxa"/>
          </w:tcPr>
          <w:p w:rsidR="00631950" w:rsidRDefault="00631950" w:rsidP="00631950">
            <w:pPr>
              <w:jc w:val="center"/>
              <w:rPr>
                <w:rFonts w:ascii="Times New Roman" w:hAnsi="Times New Roman" w:cs="Times New Roman"/>
                <w:b/>
                <w:sz w:val="44"/>
                <w:szCs w:val="44"/>
              </w:rPr>
            </w:pPr>
            <w:r w:rsidRPr="00631950">
              <w:rPr>
                <w:rFonts w:ascii="Times New Roman" w:hAnsi="Times New Roman" w:cs="Times New Roman"/>
                <w:b/>
                <w:sz w:val="44"/>
                <w:szCs w:val="44"/>
              </w:rPr>
              <w:t>RPIPC</w:t>
            </w:r>
          </w:p>
          <w:p w:rsidR="00592AA8" w:rsidRDefault="0026766A" w:rsidP="0026766A">
            <w:pPr>
              <w:jc w:val="center"/>
              <w:rPr>
                <w:rFonts w:ascii="Times New Roman" w:hAnsi="Times New Roman" w:cs="Times New Roman"/>
                <w:b/>
                <w:sz w:val="24"/>
                <w:szCs w:val="24"/>
              </w:rPr>
            </w:pPr>
            <w:r w:rsidRPr="0026766A">
              <w:rPr>
                <w:rFonts w:ascii="Times New Roman" w:hAnsi="Times New Roman" w:cs="Times New Roman"/>
                <w:b/>
                <w:sz w:val="24"/>
                <w:szCs w:val="24"/>
              </w:rPr>
              <w:t xml:space="preserve">(The </w:t>
            </w:r>
            <w:r w:rsidR="00592AA8">
              <w:rPr>
                <w:rFonts w:ascii="Times New Roman" w:hAnsi="Times New Roman" w:cs="Times New Roman"/>
                <w:b/>
                <w:sz w:val="24"/>
                <w:szCs w:val="24"/>
              </w:rPr>
              <w:t>“everything else” c</w:t>
            </w:r>
            <w:r w:rsidRPr="0026766A">
              <w:rPr>
                <w:rFonts w:ascii="Times New Roman" w:hAnsi="Times New Roman" w:cs="Times New Roman"/>
                <w:b/>
                <w:sz w:val="24"/>
                <w:szCs w:val="24"/>
              </w:rPr>
              <w:t>ommittee</w:t>
            </w:r>
            <w:r w:rsidR="00592AA8">
              <w:rPr>
                <w:rFonts w:ascii="Times New Roman" w:hAnsi="Times New Roman" w:cs="Times New Roman"/>
                <w:b/>
                <w:sz w:val="24"/>
                <w:szCs w:val="24"/>
              </w:rPr>
              <w:t xml:space="preserve">.) </w:t>
            </w:r>
          </w:p>
          <w:p w:rsidR="0026766A" w:rsidRPr="00592AA8" w:rsidRDefault="00592AA8" w:rsidP="006E0183">
            <w:pPr>
              <w:pBdr>
                <w:top w:val="single" w:sz="4" w:space="1" w:color="auto"/>
                <w:left w:val="single" w:sz="4" w:space="4" w:color="auto"/>
                <w:bottom w:val="single" w:sz="4" w:space="1" w:color="auto"/>
                <w:right w:val="single" w:sz="4" w:space="4" w:color="auto"/>
              </w:pBdr>
              <w:spacing w:before="80" w:after="80"/>
              <w:jc w:val="center"/>
              <w:rPr>
                <w:rFonts w:ascii="Times New Roman" w:hAnsi="Times New Roman" w:cs="Times New Roman"/>
                <w:b/>
                <w:i/>
                <w:sz w:val="20"/>
                <w:szCs w:val="20"/>
              </w:rPr>
            </w:pPr>
            <w:r w:rsidRPr="00592AA8">
              <w:rPr>
                <w:rFonts w:ascii="Times New Roman" w:hAnsi="Times New Roman" w:cs="Times New Roman"/>
                <w:b/>
                <w:i/>
                <w:sz w:val="20"/>
                <w:szCs w:val="20"/>
              </w:rPr>
              <w:t>If where to steer is just not clear, never fear, RPIPC’s here!</w:t>
            </w:r>
          </w:p>
          <w:p w:rsidR="0026766A" w:rsidRPr="0026766A" w:rsidRDefault="0026766A" w:rsidP="0026766A">
            <w:pPr>
              <w:jc w:val="center"/>
              <w:rPr>
                <w:rFonts w:ascii="Times New Roman" w:hAnsi="Times New Roman" w:cs="Times New Roman"/>
                <w:b/>
                <w:sz w:val="20"/>
                <w:szCs w:val="20"/>
              </w:rPr>
            </w:pPr>
            <w:r w:rsidRPr="0026766A">
              <w:rPr>
                <w:rFonts w:ascii="Times New Roman" w:hAnsi="Times New Roman" w:cs="Times New Roman"/>
                <w:b/>
                <w:sz w:val="20"/>
                <w:szCs w:val="20"/>
              </w:rPr>
              <w:t>(</w:t>
            </w:r>
            <w:r>
              <w:rPr>
                <w:rFonts w:ascii="Times New Roman" w:hAnsi="Times New Roman" w:cs="Times New Roman"/>
                <w:b/>
                <w:sz w:val="20"/>
                <w:szCs w:val="20"/>
              </w:rPr>
              <w:t>i</w:t>
            </w:r>
            <w:r w:rsidRPr="0026766A">
              <w:rPr>
                <w:rFonts w:ascii="Times New Roman" w:hAnsi="Times New Roman" w:cs="Times New Roman"/>
                <w:b/>
                <w:sz w:val="20"/>
                <w:szCs w:val="20"/>
              </w:rPr>
              <w:t xml:space="preserve">nstitutional </w:t>
            </w:r>
            <w:r>
              <w:rPr>
                <w:rFonts w:ascii="Times New Roman" w:hAnsi="Times New Roman" w:cs="Times New Roman"/>
                <w:b/>
                <w:sz w:val="20"/>
                <w:szCs w:val="20"/>
              </w:rPr>
              <w:t>p</w:t>
            </w:r>
            <w:r w:rsidRPr="0026766A">
              <w:rPr>
                <w:rFonts w:ascii="Times New Roman" w:hAnsi="Times New Roman" w:cs="Times New Roman"/>
                <w:b/>
                <w:sz w:val="20"/>
                <w:szCs w:val="20"/>
              </w:rPr>
              <w:t xml:space="preserve">olicy is all university policy that is </w:t>
            </w:r>
            <w:r>
              <w:rPr>
                <w:rFonts w:ascii="Times New Roman" w:hAnsi="Times New Roman" w:cs="Times New Roman"/>
                <w:b/>
                <w:sz w:val="20"/>
                <w:szCs w:val="20"/>
              </w:rPr>
              <w:t>neither</w:t>
            </w:r>
            <w:r w:rsidRPr="0026766A">
              <w:rPr>
                <w:rFonts w:ascii="Times New Roman" w:hAnsi="Times New Roman" w:cs="Times New Roman"/>
                <w:b/>
                <w:sz w:val="20"/>
                <w:szCs w:val="20"/>
              </w:rPr>
              <w:t xml:space="preserve"> academic </w:t>
            </w:r>
            <w:r>
              <w:rPr>
                <w:rFonts w:ascii="Times New Roman" w:hAnsi="Times New Roman" w:cs="Times New Roman"/>
                <w:b/>
                <w:sz w:val="20"/>
                <w:szCs w:val="20"/>
              </w:rPr>
              <w:t>n</w:t>
            </w:r>
            <w:r w:rsidRPr="0026766A">
              <w:rPr>
                <w:rFonts w:ascii="Times New Roman" w:hAnsi="Times New Roman" w:cs="Times New Roman"/>
                <w:b/>
                <w:sz w:val="20"/>
                <w:szCs w:val="20"/>
              </w:rPr>
              <w:t>or student non-acad</w:t>
            </w:r>
            <w:r>
              <w:rPr>
                <w:rFonts w:ascii="Times New Roman" w:hAnsi="Times New Roman" w:cs="Times New Roman"/>
                <w:b/>
                <w:sz w:val="20"/>
                <w:szCs w:val="20"/>
              </w:rPr>
              <w:t>e</w:t>
            </w:r>
            <w:r w:rsidRPr="0026766A">
              <w:rPr>
                <w:rFonts w:ascii="Times New Roman" w:hAnsi="Times New Roman" w:cs="Times New Roman"/>
                <w:b/>
                <w:sz w:val="20"/>
                <w:szCs w:val="20"/>
              </w:rPr>
              <w:t>mic</w:t>
            </w:r>
            <w:r>
              <w:rPr>
                <w:rFonts w:ascii="Times New Roman" w:hAnsi="Times New Roman" w:cs="Times New Roman"/>
                <w:b/>
                <w:sz w:val="20"/>
                <w:szCs w:val="20"/>
              </w:rPr>
              <w:t xml:space="preserve"> policy</w:t>
            </w:r>
            <w:r w:rsidRPr="0026766A">
              <w:rPr>
                <w:rFonts w:ascii="Times New Roman" w:hAnsi="Times New Roman" w:cs="Times New Roman"/>
                <w:b/>
                <w:sz w:val="20"/>
                <w:szCs w:val="20"/>
              </w:rPr>
              <w:t>)</w:t>
            </w:r>
          </w:p>
        </w:tc>
        <w:tc>
          <w:tcPr>
            <w:tcW w:w="9000" w:type="dxa"/>
          </w:tcPr>
          <w:p w:rsidR="00631950" w:rsidRPr="00631950" w:rsidRDefault="00631950" w:rsidP="00631950">
            <w:pPr>
              <w:pStyle w:val="artsecsubsubsub"/>
              <w:ind w:left="252"/>
              <w:jc w:val="both"/>
            </w:pPr>
            <w:r w:rsidRPr="00631950">
              <w:t xml:space="preserve">V.Section2.C.5.b. </w:t>
            </w:r>
            <w:r w:rsidRPr="00631950">
              <w:rPr>
                <w:i/>
                <w:iCs/>
                <w:u w:val="single"/>
              </w:rPr>
              <w:t>Scope</w:t>
            </w:r>
            <w:r w:rsidRPr="00631950">
              <w:rPr>
                <w:i/>
                <w:iCs/>
              </w:rPr>
              <w:t>.</w:t>
            </w:r>
            <w:r w:rsidRPr="00631950">
              <w:t xml:space="preserve"> 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 </w:t>
            </w:r>
          </w:p>
        </w:tc>
      </w:tr>
      <w:tr w:rsidR="00631950" w:rsidTr="0026766A">
        <w:tc>
          <w:tcPr>
            <w:tcW w:w="2178" w:type="dxa"/>
          </w:tcPr>
          <w:p w:rsidR="00631950" w:rsidRDefault="00631950" w:rsidP="00D22DB4">
            <w:pPr>
              <w:jc w:val="center"/>
              <w:rPr>
                <w:rFonts w:ascii="Times New Roman" w:hAnsi="Times New Roman" w:cs="Times New Roman"/>
                <w:b/>
                <w:sz w:val="44"/>
                <w:szCs w:val="44"/>
              </w:rPr>
            </w:pPr>
            <w:r w:rsidRPr="00631950">
              <w:rPr>
                <w:rFonts w:ascii="Times New Roman" w:hAnsi="Times New Roman" w:cs="Times New Roman"/>
                <w:b/>
                <w:sz w:val="44"/>
                <w:szCs w:val="44"/>
              </w:rPr>
              <w:t>SAPC</w:t>
            </w:r>
          </w:p>
          <w:p w:rsidR="0026766A" w:rsidRPr="00631950" w:rsidRDefault="0026766A" w:rsidP="00592AA8">
            <w:pPr>
              <w:jc w:val="center"/>
              <w:rPr>
                <w:rFonts w:ascii="Times New Roman" w:hAnsi="Times New Roman" w:cs="Times New Roman"/>
                <w:b/>
                <w:sz w:val="44"/>
                <w:szCs w:val="44"/>
              </w:rPr>
            </w:pPr>
            <w:r w:rsidRPr="00592AA8">
              <w:rPr>
                <w:rFonts w:ascii="Times New Roman" w:hAnsi="Times New Roman" w:cs="Times New Roman"/>
                <w:b/>
                <w:sz w:val="24"/>
                <w:szCs w:val="24"/>
              </w:rPr>
              <w:t>(</w:t>
            </w:r>
            <w:r w:rsidR="00592AA8" w:rsidRPr="00592AA8">
              <w:rPr>
                <w:rFonts w:ascii="Times New Roman" w:hAnsi="Times New Roman" w:cs="Times New Roman"/>
                <w:b/>
                <w:sz w:val="24"/>
                <w:szCs w:val="24"/>
              </w:rPr>
              <w:t>c</w:t>
            </w:r>
            <w:r w:rsidRPr="00592AA8">
              <w:rPr>
                <w:rFonts w:ascii="Times New Roman" w:hAnsi="Times New Roman" w:cs="Times New Roman"/>
                <w:b/>
                <w:sz w:val="24"/>
                <w:szCs w:val="24"/>
              </w:rPr>
              <w:t>onsiders</w:t>
            </w:r>
            <w:r w:rsidR="00592AA8">
              <w:rPr>
                <w:rFonts w:ascii="Times New Roman" w:hAnsi="Times New Roman" w:cs="Times New Roman"/>
                <w:b/>
                <w:sz w:val="24"/>
                <w:szCs w:val="24"/>
              </w:rPr>
              <w:t xml:space="preserve"> p</w:t>
            </w:r>
            <w:r>
              <w:rPr>
                <w:rFonts w:ascii="Times New Roman" w:hAnsi="Times New Roman" w:cs="Times New Roman"/>
                <w:b/>
                <w:sz w:val="24"/>
                <w:szCs w:val="24"/>
              </w:rPr>
              <w:t>olicy that pertains to non-academic student welfare matters</w:t>
            </w:r>
            <w:r w:rsidRPr="0026766A">
              <w:rPr>
                <w:rFonts w:ascii="Times New Roman" w:hAnsi="Times New Roman" w:cs="Times New Roman"/>
                <w:b/>
                <w:sz w:val="24"/>
                <w:szCs w:val="24"/>
              </w:rPr>
              <w:t>)</w:t>
            </w:r>
          </w:p>
        </w:tc>
        <w:tc>
          <w:tcPr>
            <w:tcW w:w="9000" w:type="dxa"/>
          </w:tcPr>
          <w:p w:rsidR="00631950" w:rsidRPr="00631950" w:rsidRDefault="00631950" w:rsidP="00631950">
            <w:pPr>
              <w:pStyle w:val="artsecsubsubsub"/>
              <w:ind w:left="252"/>
              <w:jc w:val="both"/>
            </w:pPr>
            <w:r w:rsidRPr="00631950">
              <w:t xml:space="preserve">V.Section2.C.4.b. </w:t>
            </w:r>
            <w:r w:rsidRPr="00631950">
              <w:rPr>
                <w:i/>
                <w:iCs/>
                <w:u w:val="single"/>
              </w:rPr>
              <w:t>Scope</w:t>
            </w:r>
            <w:r w:rsidRPr="00631950">
              <w:rPr>
                <w:i/>
                <w:iCs/>
              </w:rPr>
              <w:t>.</w:t>
            </w:r>
            <w:r w:rsidRPr="00631950">
              <w:t xml:space="preserve"> 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p>
        </w:tc>
      </w:tr>
      <w:tr w:rsidR="00631950" w:rsidTr="0026766A">
        <w:tc>
          <w:tcPr>
            <w:tcW w:w="2178" w:type="dxa"/>
          </w:tcPr>
          <w:p w:rsidR="00631950" w:rsidRDefault="00631950" w:rsidP="00D22DB4">
            <w:pPr>
              <w:jc w:val="center"/>
              <w:rPr>
                <w:rFonts w:ascii="Times New Roman" w:hAnsi="Times New Roman" w:cs="Times New Roman"/>
                <w:b/>
                <w:sz w:val="44"/>
                <w:szCs w:val="44"/>
              </w:rPr>
            </w:pPr>
            <w:r w:rsidRPr="00631950">
              <w:rPr>
                <w:rFonts w:ascii="Times New Roman" w:hAnsi="Times New Roman" w:cs="Times New Roman"/>
                <w:b/>
                <w:sz w:val="44"/>
                <w:szCs w:val="44"/>
              </w:rPr>
              <w:t>SoCC</w:t>
            </w:r>
          </w:p>
          <w:p w:rsidR="0026766A" w:rsidRPr="00631950" w:rsidRDefault="0026766A" w:rsidP="00592AA8">
            <w:pPr>
              <w:jc w:val="center"/>
              <w:rPr>
                <w:rFonts w:ascii="Times New Roman" w:hAnsi="Times New Roman" w:cs="Times New Roman"/>
                <w:b/>
                <w:sz w:val="44"/>
                <w:szCs w:val="44"/>
              </w:rPr>
            </w:pPr>
            <w:r w:rsidRPr="0026766A">
              <w:rPr>
                <w:rFonts w:ascii="Times New Roman" w:hAnsi="Times New Roman" w:cs="Times New Roman"/>
                <w:b/>
                <w:sz w:val="24"/>
                <w:szCs w:val="24"/>
              </w:rPr>
              <w:t>(</w:t>
            </w:r>
            <w:r w:rsidR="00592AA8">
              <w:rPr>
                <w:rFonts w:ascii="Times New Roman" w:hAnsi="Times New Roman" w:cs="Times New Roman"/>
                <w:b/>
                <w:sz w:val="24"/>
                <w:szCs w:val="24"/>
              </w:rPr>
              <w:t>c</w:t>
            </w:r>
            <w:r>
              <w:rPr>
                <w:rFonts w:ascii="Times New Roman" w:hAnsi="Times New Roman" w:cs="Times New Roman"/>
                <w:b/>
                <w:sz w:val="24"/>
                <w:szCs w:val="24"/>
              </w:rPr>
              <w:t xml:space="preserve">onsiders </w:t>
            </w:r>
            <w:r w:rsidR="00592AA8">
              <w:rPr>
                <w:rFonts w:ascii="Times New Roman" w:hAnsi="Times New Roman" w:cs="Times New Roman"/>
                <w:b/>
                <w:sz w:val="24"/>
                <w:szCs w:val="24"/>
              </w:rPr>
              <w:t>the c</w:t>
            </w:r>
            <w:r>
              <w:rPr>
                <w:rFonts w:ascii="Times New Roman" w:hAnsi="Times New Roman" w:cs="Times New Roman"/>
                <w:b/>
                <w:sz w:val="24"/>
                <w:szCs w:val="24"/>
              </w:rPr>
              <w:t xml:space="preserve">ore </w:t>
            </w:r>
            <w:r w:rsidR="00592AA8">
              <w:rPr>
                <w:rFonts w:ascii="Times New Roman" w:hAnsi="Times New Roman" w:cs="Times New Roman"/>
                <w:b/>
                <w:sz w:val="24"/>
                <w:szCs w:val="24"/>
              </w:rPr>
              <w:t>c</w:t>
            </w:r>
            <w:r>
              <w:rPr>
                <w:rFonts w:ascii="Times New Roman" w:hAnsi="Times New Roman" w:cs="Times New Roman"/>
                <w:b/>
                <w:sz w:val="24"/>
                <w:szCs w:val="24"/>
              </w:rPr>
              <w:t xml:space="preserve">urriculum and its </w:t>
            </w:r>
            <w:r w:rsidR="00592AA8">
              <w:rPr>
                <w:rFonts w:ascii="Times New Roman" w:hAnsi="Times New Roman" w:cs="Times New Roman"/>
                <w:b/>
                <w:sz w:val="24"/>
                <w:szCs w:val="24"/>
              </w:rPr>
              <w:t>a</w:t>
            </w:r>
            <w:r>
              <w:rPr>
                <w:rFonts w:ascii="Times New Roman" w:hAnsi="Times New Roman" w:cs="Times New Roman"/>
                <w:b/>
                <w:sz w:val="24"/>
                <w:szCs w:val="24"/>
              </w:rPr>
              <w:t>ssessment</w:t>
            </w:r>
            <w:r w:rsidRPr="0026766A">
              <w:rPr>
                <w:rFonts w:ascii="Times New Roman" w:hAnsi="Times New Roman" w:cs="Times New Roman"/>
                <w:b/>
                <w:sz w:val="24"/>
                <w:szCs w:val="24"/>
              </w:rPr>
              <w:t>)</w:t>
            </w:r>
          </w:p>
        </w:tc>
        <w:tc>
          <w:tcPr>
            <w:tcW w:w="9000" w:type="dxa"/>
          </w:tcPr>
          <w:p w:rsidR="00631950" w:rsidRPr="00631950" w:rsidRDefault="00631950" w:rsidP="00745C3B">
            <w:pPr>
              <w:spacing w:after="100"/>
              <w:ind w:left="342" w:hanging="342"/>
              <w:jc w:val="both"/>
              <w:rPr>
                <w:rFonts w:ascii="Times New Roman" w:eastAsia="Times New Roman" w:hAnsi="Times New Roman" w:cs="Times New Roman"/>
                <w:sz w:val="24"/>
                <w:szCs w:val="24"/>
              </w:rPr>
            </w:pPr>
            <w:r w:rsidRPr="00631950">
              <w:rPr>
                <w:rFonts w:ascii="Times New Roman" w:eastAsia="Times New Roman" w:hAnsi="Times New Roman" w:cs="Times New Roman"/>
                <w:sz w:val="24"/>
                <w:szCs w:val="24"/>
              </w:rPr>
              <w:t>V.Section2.D.1.d.</w:t>
            </w:r>
            <w:r w:rsidRPr="00631950">
              <w:rPr>
                <w:rFonts w:ascii="Times New Roman" w:eastAsia="Times New Roman" w:hAnsi="Times New Roman" w:cs="Times New Roman"/>
                <w:i/>
                <w:iCs/>
                <w:sz w:val="24"/>
                <w:szCs w:val="24"/>
              </w:rPr>
              <w:t xml:space="preserve"> </w:t>
            </w:r>
            <w:r w:rsidRPr="00631950">
              <w:rPr>
                <w:rFonts w:ascii="Times New Roman" w:eastAsia="Times New Roman" w:hAnsi="Times New Roman" w:cs="Times New Roman"/>
                <w:i/>
                <w:iCs/>
                <w:sz w:val="24"/>
                <w:szCs w:val="24"/>
                <w:u w:val="single"/>
              </w:rPr>
              <w:t>Scope</w:t>
            </w:r>
            <w:r w:rsidRPr="00631950">
              <w:rPr>
                <w:rFonts w:ascii="Times New Roman" w:eastAsia="Times New Roman" w:hAnsi="Times New Roman" w:cs="Times New Roman"/>
                <w:sz w:val="24"/>
                <w:szCs w:val="24"/>
              </w:rPr>
              <w:t>. The Subcommittee on the Core Curriculum shall be concerned with 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w:t>
            </w:r>
          </w:p>
        </w:tc>
      </w:tr>
    </w:tbl>
    <w:p w:rsidR="00631950" w:rsidRDefault="00631950" w:rsidP="008D1F5C"/>
    <w:sectPr w:rsidR="00631950" w:rsidSect="008D1F5C">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50"/>
    <w:rsid w:val="000179DD"/>
    <w:rsid w:val="0026766A"/>
    <w:rsid w:val="00592AA8"/>
    <w:rsid w:val="00631950"/>
    <w:rsid w:val="006E0183"/>
    <w:rsid w:val="00745C3B"/>
    <w:rsid w:val="008D1F5C"/>
    <w:rsid w:val="00C76346"/>
    <w:rsid w:val="00F13038"/>
    <w:rsid w:val="00FA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secsubsubsub">
    <w:name w:val="artsecsubsubsub"/>
    <w:basedOn w:val="Normal"/>
    <w:rsid w:val="00631950"/>
    <w:pPr>
      <w:spacing w:before="120" w:after="0" w:line="240" w:lineRule="auto"/>
      <w:ind w:left="1728" w:hanging="28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secsubsubsub">
    <w:name w:val="artsecsubsubsub"/>
    <w:basedOn w:val="Normal"/>
    <w:rsid w:val="00631950"/>
    <w:pPr>
      <w:spacing w:before="120" w:after="0" w:line="240" w:lineRule="auto"/>
      <w:ind w:left="1728" w:hanging="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8324">
      <w:bodyDiv w:val="1"/>
      <w:marLeft w:val="0"/>
      <w:marRight w:val="0"/>
      <w:marTop w:val="0"/>
      <w:marBottom w:val="0"/>
      <w:divBdr>
        <w:top w:val="none" w:sz="0" w:space="0" w:color="auto"/>
        <w:left w:val="none" w:sz="0" w:space="0" w:color="auto"/>
        <w:bottom w:val="none" w:sz="0" w:space="0" w:color="auto"/>
        <w:right w:val="none" w:sz="0" w:space="0" w:color="auto"/>
      </w:divBdr>
      <w:divsChild>
        <w:div w:id="65603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14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1063802">
      <w:bodyDiv w:val="1"/>
      <w:marLeft w:val="0"/>
      <w:marRight w:val="0"/>
      <w:marTop w:val="0"/>
      <w:marBottom w:val="0"/>
      <w:divBdr>
        <w:top w:val="none" w:sz="0" w:space="0" w:color="auto"/>
        <w:left w:val="none" w:sz="0" w:space="0" w:color="auto"/>
        <w:bottom w:val="none" w:sz="0" w:space="0" w:color="auto"/>
        <w:right w:val="none" w:sz="0" w:space="0" w:color="auto"/>
      </w:divBdr>
    </w:div>
    <w:div w:id="1765691159">
      <w:bodyDiv w:val="1"/>
      <w:marLeft w:val="0"/>
      <w:marRight w:val="0"/>
      <w:marTop w:val="0"/>
      <w:marBottom w:val="0"/>
      <w:divBdr>
        <w:top w:val="none" w:sz="0" w:space="0" w:color="auto"/>
        <w:left w:val="none" w:sz="0" w:space="0" w:color="auto"/>
        <w:bottom w:val="none" w:sz="0" w:space="0" w:color="auto"/>
        <w:right w:val="none" w:sz="0" w:space="0" w:color="auto"/>
      </w:divBdr>
    </w:div>
    <w:div w:id="1916475099">
      <w:bodyDiv w:val="1"/>
      <w:marLeft w:val="0"/>
      <w:marRight w:val="0"/>
      <w:marTop w:val="0"/>
      <w:marBottom w:val="0"/>
      <w:divBdr>
        <w:top w:val="none" w:sz="0" w:space="0" w:color="auto"/>
        <w:left w:val="none" w:sz="0" w:space="0" w:color="auto"/>
        <w:bottom w:val="none" w:sz="0" w:space="0" w:color="auto"/>
        <w:right w:val="none" w:sz="0" w:space="0" w:color="auto"/>
      </w:divBdr>
    </w:div>
    <w:div w:id="20734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1</cp:revision>
  <dcterms:created xsi:type="dcterms:W3CDTF">2012-12-06T20:58:00Z</dcterms:created>
  <dcterms:modified xsi:type="dcterms:W3CDTF">2012-12-06T20:59:00Z</dcterms:modified>
</cp:coreProperties>
</file>