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FD3D31" w:rsidP="00A55E3F">
      <w:pPr>
        <w:jc w:val="center"/>
      </w:pPr>
      <w:r>
        <w:rPr>
          <w:b/>
          <w:bCs/>
          <w:sz w:val="28"/>
          <w:szCs w:val="28"/>
        </w:rPr>
        <w:t>Academic Policy</w:t>
      </w:r>
      <w:r w:rsidR="0071470B">
        <w:rPr>
          <w:b/>
          <w:bCs/>
          <w:sz w:val="28"/>
          <w:szCs w:val="28"/>
        </w:rPr>
        <w:t xml:space="preserve"> Committee Annual Report</w:t>
      </w:r>
    </w:p>
    <w:p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11 May 2018</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FD3D31">
        <w:rPr>
          <w:b/>
          <w:bCs/>
          <w:sz w:val="20"/>
          <w:szCs w:val="20"/>
        </w:rPr>
        <w:t xml:space="preserve"> </w:t>
      </w:r>
      <w:r w:rsidR="00FD3D31" w:rsidRPr="00FD3D31">
        <w:rPr>
          <w:bCs/>
          <w:sz w:val="20"/>
          <w:szCs w:val="20"/>
        </w:rPr>
        <w:t>Academic Policy Committee</w:t>
      </w:r>
    </w:p>
    <w:p w:rsidR="00865BBB" w:rsidRDefault="00865BBB" w:rsidP="00865BBB">
      <w:r>
        <w:rPr>
          <w:b/>
          <w:bCs/>
          <w:sz w:val="20"/>
          <w:szCs w:val="20"/>
        </w:rPr>
        <w:t> </w:t>
      </w:r>
    </w:p>
    <w:p w:rsidR="00865BBB" w:rsidRDefault="00865BBB" w:rsidP="00865BBB">
      <w:r>
        <w:rPr>
          <w:b/>
          <w:bCs/>
          <w:sz w:val="20"/>
          <w:szCs w:val="20"/>
        </w:rPr>
        <w:t>Academic Year:</w:t>
      </w:r>
      <w:r w:rsidR="00FD3D31">
        <w:rPr>
          <w:b/>
          <w:bCs/>
          <w:sz w:val="20"/>
          <w:szCs w:val="20"/>
        </w:rPr>
        <w:t xml:space="preserve"> 2017 - 2018</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p>
    <w:p w:rsidR="00FD3D31" w:rsidRDefault="00FD3D31" w:rsidP="00FD3D31">
      <w:pPr>
        <w:pStyle w:val="ArtSecSubSubSub"/>
        <w:jc w:val="both"/>
      </w:pPr>
      <w:r w:rsidRPr="00E230D1">
        <w:t>V.Section2.C.1.b.</w:t>
      </w:r>
      <w:r>
        <w:t xml:space="preserve"> </w:t>
      </w:r>
      <w:r>
        <w:rPr>
          <w:i/>
          <w:u w:val="single"/>
        </w:rPr>
        <w:t>Scope</w:t>
      </w:r>
      <w:r w:rsidRPr="00E92609">
        <w:t>.</w:t>
      </w:r>
      <w:r>
        <w:t xml:space="preserve"> </w:t>
      </w:r>
      <w:r w:rsidRPr="00E230D1">
        <w:t>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w:t>
      </w:r>
      <w:r>
        <w:t xml:space="preserve"> </w:t>
      </w:r>
      <w:r w:rsidRPr="00E230D1">
        <w:t>This committee also provides advice, as appropriate, on academic procedural matters at the institution.</w:t>
      </w:r>
    </w:p>
    <w:p w:rsidR="00865BBB" w:rsidRDefault="00865BBB" w:rsidP="00865BBB">
      <w:pPr>
        <w:rPr>
          <w:i/>
          <w:iCs/>
          <w:sz w:val="16"/>
          <w:szCs w:val="16"/>
        </w:rPr>
      </w:pP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tbl>
      <w:tblPr>
        <w:tblStyle w:val="TableGrid"/>
        <w:tblW w:w="0" w:type="auto"/>
        <w:tblLook w:val="04A0" w:firstRow="1" w:lastRow="0" w:firstColumn="1" w:lastColumn="0" w:noHBand="0" w:noVBand="1"/>
      </w:tblPr>
      <w:tblGrid>
        <w:gridCol w:w="4963"/>
        <w:gridCol w:w="4963"/>
      </w:tblGrid>
      <w:tr w:rsidR="00FD3D31" w:rsidTr="00FD3D31">
        <w:tc>
          <w:tcPr>
            <w:tcW w:w="4963" w:type="dxa"/>
          </w:tcPr>
          <w:p w:rsidR="00FD3D31" w:rsidRDefault="00FD3D31" w:rsidP="00865BBB">
            <w:pPr>
              <w:rPr>
                <w:b/>
                <w:bCs/>
                <w:sz w:val="20"/>
                <w:szCs w:val="20"/>
              </w:rPr>
            </w:pPr>
            <w:r>
              <w:rPr>
                <w:b/>
                <w:bCs/>
                <w:sz w:val="20"/>
                <w:szCs w:val="20"/>
              </w:rPr>
              <w:t>Date</w:t>
            </w:r>
          </w:p>
        </w:tc>
        <w:tc>
          <w:tcPr>
            <w:tcW w:w="4963" w:type="dxa"/>
          </w:tcPr>
          <w:p w:rsidR="00FD3D31" w:rsidRDefault="00FD3D31" w:rsidP="00865BBB">
            <w:pPr>
              <w:rPr>
                <w:b/>
                <w:bCs/>
                <w:sz w:val="20"/>
                <w:szCs w:val="20"/>
              </w:rPr>
            </w:pPr>
          </w:p>
        </w:tc>
      </w:tr>
      <w:tr w:rsidR="00FD3D31" w:rsidTr="00FD3D31">
        <w:tc>
          <w:tcPr>
            <w:tcW w:w="4963" w:type="dxa"/>
          </w:tcPr>
          <w:p w:rsidR="00FD3D31" w:rsidRPr="00FD3D31" w:rsidRDefault="007E4CE5" w:rsidP="00865BBB">
            <w:pPr>
              <w:rPr>
                <w:bCs/>
                <w:sz w:val="20"/>
                <w:szCs w:val="20"/>
              </w:rPr>
            </w:pPr>
            <w:r>
              <w:rPr>
                <w:bCs/>
                <w:sz w:val="20"/>
                <w:szCs w:val="20"/>
              </w:rPr>
              <w:t>4/21/17</w:t>
            </w:r>
          </w:p>
        </w:tc>
        <w:tc>
          <w:tcPr>
            <w:tcW w:w="4963" w:type="dxa"/>
          </w:tcPr>
          <w:p w:rsidR="00FD3D31" w:rsidRPr="00FD3D31" w:rsidRDefault="00FD3D31" w:rsidP="00865BBB">
            <w:pPr>
              <w:rPr>
                <w:bCs/>
                <w:sz w:val="20"/>
                <w:szCs w:val="20"/>
              </w:rPr>
            </w:pPr>
            <w:r w:rsidRPr="00FD3D31">
              <w:rPr>
                <w:bCs/>
                <w:sz w:val="20"/>
                <w:szCs w:val="20"/>
              </w:rPr>
              <w:t>Organizational Meeting</w:t>
            </w:r>
          </w:p>
        </w:tc>
      </w:tr>
      <w:tr w:rsidR="00FD3D31" w:rsidTr="00FD3D31">
        <w:tc>
          <w:tcPr>
            <w:tcW w:w="4963" w:type="dxa"/>
          </w:tcPr>
          <w:p w:rsidR="00FD3D31" w:rsidRPr="00FD3D31" w:rsidRDefault="00FD3D31" w:rsidP="00865BBB">
            <w:pPr>
              <w:rPr>
                <w:bCs/>
                <w:sz w:val="20"/>
                <w:szCs w:val="20"/>
              </w:rPr>
            </w:pPr>
            <w:r>
              <w:rPr>
                <w:bCs/>
                <w:sz w:val="20"/>
                <w:szCs w:val="20"/>
              </w:rPr>
              <w:t>9/1/2017</w:t>
            </w:r>
          </w:p>
        </w:tc>
        <w:tc>
          <w:tcPr>
            <w:tcW w:w="4963" w:type="dxa"/>
          </w:tcPr>
          <w:p w:rsidR="00FD3D31" w:rsidRPr="00FD3D31" w:rsidRDefault="00FD3D31" w:rsidP="00865BBB">
            <w:pPr>
              <w:rPr>
                <w:bCs/>
                <w:sz w:val="20"/>
                <w:szCs w:val="20"/>
              </w:rPr>
            </w:pPr>
          </w:p>
        </w:tc>
      </w:tr>
      <w:tr w:rsidR="00FD3D31" w:rsidTr="00FD3D31">
        <w:tc>
          <w:tcPr>
            <w:tcW w:w="4963" w:type="dxa"/>
          </w:tcPr>
          <w:p w:rsidR="00FD3D31" w:rsidRPr="00FD3D31" w:rsidRDefault="00D64056" w:rsidP="00D64056">
            <w:pPr>
              <w:rPr>
                <w:bCs/>
                <w:sz w:val="20"/>
                <w:szCs w:val="20"/>
              </w:rPr>
            </w:pPr>
            <w:r>
              <w:rPr>
                <w:bCs/>
                <w:sz w:val="20"/>
                <w:szCs w:val="20"/>
              </w:rPr>
              <w:t>10/6/17</w:t>
            </w:r>
          </w:p>
        </w:tc>
        <w:tc>
          <w:tcPr>
            <w:tcW w:w="4963" w:type="dxa"/>
          </w:tcPr>
          <w:p w:rsidR="00FD3D31" w:rsidRPr="00FD3D31" w:rsidRDefault="00FD3D31" w:rsidP="00865BBB">
            <w:pPr>
              <w:rPr>
                <w:bCs/>
                <w:sz w:val="20"/>
                <w:szCs w:val="20"/>
              </w:rPr>
            </w:pPr>
          </w:p>
        </w:tc>
      </w:tr>
      <w:tr w:rsidR="00FD3D31" w:rsidTr="00FD3D31">
        <w:tc>
          <w:tcPr>
            <w:tcW w:w="4963" w:type="dxa"/>
          </w:tcPr>
          <w:p w:rsidR="00FD3D31" w:rsidRPr="00FD3D31" w:rsidRDefault="00D64056" w:rsidP="00865BBB">
            <w:pPr>
              <w:rPr>
                <w:bCs/>
                <w:sz w:val="20"/>
                <w:szCs w:val="20"/>
              </w:rPr>
            </w:pPr>
            <w:r>
              <w:rPr>
                <w:bCs/>
                <w:sz w:val="20"/>
                <w:szCs w:val="20"/>
              </w:rPr>
              <w:t>11/3/17</w:t>
            </w:r>
          </w:p>
        </w:tc>
        <w:tc>
          <w:tcPr>
            <w:tcW w:w="4963" w:type="dxa"/>
          </w:tcPr>
          <w:p w:rsidR="00FD3D31" w:rsidRPr="00FD3D31" w:rsidRDefault="00FD3D31" w:rsidP="00865BBB">
            <w:pPr>
              <w:rPr>
                <w:bCs/>
                <w:sz w:val="20"/>
                <w:szCs w:val="20"/>
              </w:rPr>
            </w:pPr>
          </w:p>
        </w:tc>
      </w:tr>
      <w:tr w:rsidR="00FD3D31" w:rsidTr="00FD3D31">
        <w:tc>
          <w:tcPr>
            <w:tcW w:w="4963" w:type="dxa"/>
          </w:tcPr>
          <w:p w:rsidR="00FD3D31" w:rsidRPr="00FD3D31" w:rsidRDefault="00FD3D31" w:rsidP="00865BBB">
            <w:pPr>
              <w:rPr>
                <w:bCs/>
                <w:sz w:val="20"/>
                <w:szCs w:val="20"/>
              </w:rPr>
            </w:pPr>
            <w:r>
              <w:rPr>
                <w:bCs/>
                <w:sz w:val="20"/>
                <w:szCs w:val="20"/>
              </w:rPr>
              <w:t>12/1/2017</w:t>
            </w:r>
          </w:p>
        </w:tc>
        <w:tc>
          <w:tcPr>
            <w:tcW w:w="4963" w:type="dxa"/>
          </w:tcPr>
          <w:p w:rsidR="00FD3D31" w:rsidRPr="00FD3D31" w:rsidRDefault="00FD3D31" w:rsidP="007E4CE5">
            <w:pPr>
              <w:rPr>
                <w:bCs/>
                <w:sz w:val="20"/>
                <w:szCs w:val="20"/>
              </w:rPr>
            </w:pPr>
            <w:r>
              <w:rPr>
                <w:bCs/>
                <w:sz w:val="20"/>
                <w:szCs w:val="20"/>
              </w:rPr>
              <w:t xml:space="preserve">No </w:t>
            </w:r>
            <w:r w:rsidR="007E4CE5">
              <w:rPr>
                <w:bCs/>
                <w:sz w:val="20"/>
                <w:szCs w:val="20"/>
              </w:rPr>
              <w:t>B</w:t>
            </w:r>
            <w:r>
              <w:rPr>
                <w:bCs/>
                <w:sz w:val="20"/>
                <w:szCs w:val="20"/>
              </w:rPr>
              <w:t>usiness – meeting cancelled</w:t>
            </w:r>
          </w:p>
        </w:tc>
      </w:tr>
      <w:tr w:rsidR="00FD3D31" w:rsidTr="00FD3D31">
        <w:tc>
          <w:tcPr>
            <w:tcW w:w="4963" w:type="dxa"/>
          </w:tcPr>
          <w:p w:rsidR="00FD3D31" w:rsidRPr="00FD3D31" w:rsidRDefault="00727463" w:rsidP="00865BBB">
            <w:pPr>
              <w:rPr>
                <w:bCs/>
                <w:sz w:val="20"/>
                <w:szCs w:val="20"/>
              </w:rPr>
            </w:pPr>
            <w:r>
              <w:rPr>
                <w:bCs/>
                <w:sz w:val="20"/>
                <w:szCs w:val="20"/>
              </w:rPr>
              <w:t>2/2/18</w:t>
            </w:r>
          </w:p>
        </w:tc>
        <w:tc>
          <w:tcPr>
            <w:tcW w:w="4963" w:type="dxa"/>
          </w:tcPr>
          <w:p w:rsidR="00FD3D31" w:rsidRPr="00FD3D31" w:rsidRDefault="00FD3D31" w:rsidP="00865BBB">
            <w:pPr>
              <w:rPr>
                <w:bCs/>
                <w:sz w:val="20"/>
                <w:szCs w:val="20"/>
              </w:rPr>
            </w:pPr>
          </w:p>
        </w:tc>
      </w:tr>
      <w:tr w:rsidR="00D64056" w:rsidTr="00FD3D31">
        <w:tc>
          <w:tcPr>
            <w:tcW w:w="4963" w:type="dxa"/>
          </w:tcPr>
          <w:p w:rsidR="00D64056" w:rsidRPr="00FD3D31" w:rsidRDefault="00727463" w:rsidP="00865BBB">
            <w:pPr>
              <w:rPr>
                <w:bCs/>
                <w:sz w:val="20"/>
                <w:szCs w:val="20"/>
              </w:rPr>
            </w:pPr>
            <w:r>
              <w:rPr>
                <w:bCs/>
                <w:sz w:val="20"/>
                <w:szCs w:val="20"/>
              </w:rPr>
              <w:t>3/2/18</w:t>
            </w:r>
          </w:p>
        </w:tc>
        <w:tc>
          <w:tcPr>
            <w:tcW w:w="4963" w:type="dxa"/>
          </w:tcPr>
          <w:p w:rsidR="00D64056" w:rsidRPr="00FD3D31" w:rsidRDefault="00727463" w:rsidP="00865BBB">
            <w:pPr>
              <w:rPr>
                <w:bCs/>
                <w:sz w:val="20"/>
                <w:szCs w:val="20"/>
              </w:rPr>
            </w:pPr>
            <w:r>
              <w:rPr>
                <w:bCs/>
                <w:sz w:val="20"/>
                <w:szCs w:val="20"/>
              </w:rPr>
              <w:t>No Quorum – meeting cancelled</w:t>
            </w:r>
          </w:p>
        </w:tc>
      </w:tr>
      <w:tr w:rsidR="00727463" w:rsidTr="00FD3D31">
        <w:tc>
          <w:tcPr>
            <w:tcW w:w="4963" w:type="dxa"/>
          </w:tcPr>
          <w:p w:rsidR="00727463" w:rsidRDefault="00727463" w:rsidP="00865BBB">
            <w:pPr>
              <w:rPr>
                <w:bCs/>
                <w:sz w:val="20"/>
                <w:szCs w:val="20"/>
              </w:rPr>
            </w:pPr>
            <w:r>
              <w:rPr>
                <w:bCs/>
                <w:sz w:val="20"/>
                <w:szCs w:val="20"/>
              </w:rPr>
              <w:t>3/30/18</w:t>
            </w:r>
          </w:p>
        </w:tc>
        <w:tc>
          <w:tcPr>
            <w:tcW w:w="4963" w:type="dxa"/>
          </w:tcPr>
          <w:p w:rsidR="00727463" w:rsidRPr="00FD3D31" w:rsidRDefault="00727463" w:rsidP="00865BBB">
            <w:pPr>
              <w:rPr>
                <w:bCs/>
                <w:sz w:val="20"/>
                <w:szCs w:val="20"/>
              </w:rPr>
            </w:pPr>
          </w:p>
        </w:tc>
      </w:tr>
    </w:tbl>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D64056" w:rsidRDefault="00865BBB" w:rsidP="00865BBB">
      <w:r>
        <w:rPr>
          <w:b/>
          <w:bCs/>
          <w:sz w:val="20"/>
          <w:szCs w:val="20"/>
        </w:rPr>
        <w:t> </w:t>
      </w:r>
    </w:p>
    <w:tbl>
      <w:tblPr>
        <w:tblStyle w:val="TableGrid"/>
        <w:tblW w:w="0" w:type="auto"/>
        <w:tblLook w:val="04A0" w:firstRow="1" w:lastRow="0" w:firstColumn="1" w:lastColumn="0" w:noHBand="0" w:noVBand="1"/>
      </w:tblPr>
      <w:tblGrid>
        <w:gridCol w:w="2965"/>
        <w:gridCol w:w="720"/>
        <w:gridCol w:w="630"/>
        <w:gridCol w:w="643"/>
        <w:gridCol w:w="720"/>
        <w:gridCol w:w="720"/>
        <w:gridCol w:w="720"/>
        <w:gridCol w:w="720"/>
        <w:gridCol w:w="720"/>
      </w:tblGrid>
      <w:tr w:rsidR="00727463" w:rsidTr="00143FF9">
        <w:tc>
          <w:tcPr>
            <w:tcW w:w="2965" w:type="dxa"/>
          </w:tcPr>
          <w:p w:rsidR="00727463" w:rsidRDefault="00727463" w:rsidP="00865BBB">
            <w:r>
              <w:t>Name</w:t>
            </w:r>
          </w:p>
        </w:tc>
        <w:tc>
          <w:tcPr>
            <w:tcW w:w="720" w:type="dxa"/>
          </w:tcPr>
          <w:p w:rsidR="00727463" w:rsidRDefault="00727463" w:rsidP="00865BBB"/>
        </w:tc>
        <w:tc>
          <w:tcPr>
            <w:tcW w:w="630" w:type="dxa"/>
          </w:tcPr>
          <w:p w:rsidR="00727463" w:rsidRDefault="00727463" w:rsidP="00865BBB">
            <w:r>
              <w:t>9/1</w:t>
            </w:r>
          </w:p>
        </w:tc>
        <w:tc>
          <w:tcPr>
            <w:tcW w:w="540" w:type="dxa"/>
          </w:tcPr>
          <w:p w:rsidR="00727463" w:rsidRDefault="00727463" w:rsidP="00865BBB">
            <w:r>
              <w:t>10/6</w:t>
            </w:r>
          </w:p>
        </w:tc>
        <w:tc>
          <w:tcPr>
            <w:tcW w:w="720" w:type="dxa"/>
          </w:tcPr>
          <w:p w:rsidR="00727463" w:rsidRDefault="00727463" w:rsidP="00865BBB">
            <w:r>
              <w:t>11/3</w:t>
            </w:r>
          </w:p>
        </w:tc>
        <w:tc>
          <w:tcPr>
            <w:tcW w:w="720" w:type="dxa"/>
          </w:tcPr>
          <w:p w:rsidR="00727463" w:rsidRDefault="00727463" w:rsidP="00865BBB">
            <w:r>
              <w:t>2/2</w:t>
            </w:r>
          </w:p>
        </w:tc>
        <w:tc>
          <w:tcPr>
            <w:tcW w:w="720" w:type="dxa"/>
          </w:tcPr>
          <w:p w:rsidR="00727463" w:rsidRDefault="00727463" w:rsidP="00865BBB">
            <w:r>
              <w:t>3/2</w:t>
            </w:r>
          </w:p>
        </w:tc>
        <w:tc>
          <w:tcPr>
            <w:tcW w:w="720" w:type="dxa"/>
          </w:tcPr>
          <w:p w:rsidR="00727463" w:rsidRDefault="00727463" w:rsidP="00865BBB">
            <w:r>
              <w:t>3/30</w:t>
            </w:r>
          </w:p>
        </w:tc>
        <w:tc>
          <w:tcPr>
            <w:tcW w:w="720" w:type="dxa"/>
          </w:tcPr>
          <w:p w:rsidR="00727463" w:rsidRDefault="00727463" w:rsidP="00865BBB"/>
        </w:tc>
      </w:tr>
      <w:tr w:rsidR="00727463" w:rsidTr="00143FF9">
        <w:tc>
          <w:tcPr>
            <w:tcW w:w="2965" w:type="dxa"/>
          </w:tcPr>
          <w:p w:rsidR="00727463" w:rsidRDefault="00727463" w:rsidP="00D64056">
            <w:r>
              <w:t>John Swinton (Chair)</w:t>
            </w:r>
          </w:p>
        </w:tc>
        <w:tc>
          <w:tcPr>
            <w:tcW w:w="720" w:type="dxa"/>
          </w:tcPr>
          <w:p w:rsidR="00727463" w:rsidRDefault="00727463" w:rsidP="00865BBB"/>
        </w:tc>
        <w:tc>
          <w:tcPr>
            <w:tcW w:w="630" w:type="dxa"/>
          </w:tcPr>
          <w:p w:rsidR="00727463" w:rsidRDefault="000E4EF4" w:rsidP="00865BBB">
            <w:r>
              <w:t>P</w:t>
            </w:r>
          </w:p>
        </w:tc>
        <w:tc>
          <w:tcPr>
            <w:tcW w:w="540" w:type="dxa"/>
          </w:tcPr>
          <w:p w:rsidR="00727463" w:rsidRDefault="000E4EF4" w:rsidP="00865BBB">
            <w:r>
              <w:t>R</w:t>
            </w:r>
          </w:p>
        </w:tc>
        <w:tc>
          <w:tcPr>
            <w:tcW w:w="720" w:type="dxa"/>
          </w:tcPr>
          <w:p w:rsidR="00727463" w:rsidRDefault="000E4EF4" w:rsidP="00865BBB">
            <w:r>
              <w:t>P</w:t>
            </w:r>
          </w:p>
        </w:tc>
        <w:tc>
          <w:tcPr>
            <w:tcW w:w="720" w:type="dxa"/>
          </w:tcPr>
          <w:p w:rsidR="00727463" w:rsidRDefault="000A75BA" w:rsidP="00865BBB">
            <w:r>
              <w:t>P</w:t>
            </w:r>
          </w:p>
        </w:tc>
        <w:tc>
          <w:tcPr>
            <w:tcW w:w="720" w:type="dxa"/>
          </w:tcPr>
          <w:p w:rsidR="00727463" w:rsidRDefault="00727463" w:rsidP="00865BBB"/>
        </w:tc>
        <w:tc>
          <w:tcPr>
            <w:tcW w:w="720" w:type="dxa"/>
          </w:tcPr>
          <w:p w:rsidR="00727463" w:rsidRDefault="00727463" w:rsidP="00865BBB"/>
        </w:tc>
        <w:tc>
          <w:tcPr>
            <w:tcW w:w="720" w:type="dxa"/>
          </w:tcPr>
          <w:p w:rsidR="00727463" w:rsidRDefault="00727463" w:rsidP="00865BBB"/>
        </w:tc>
      </w:tr>
      <w:tr w:rsidR="00727463" w:rsidTr="00143FF9">
        <w:tc>
          <w:tcPr>
            <w:tcW w:w="2965" w:type="dxa"/>
          </w:tcPr>
          <w:p w:rsidR="00727463" w:rsidRDefault="00727463" w:rsidP="00D64056">
            <w:r>
              <w:t>Rodica Cazacu (Vice chair)</w:t>
            </w:r>
          </w:p>
        </w:tc>
        <w:tc>
          <w:tcPr>
            <w:tcW w:w="720" w:type="dxa"/>
          </w:tcPr>
          <w:p w:rsidR="00727463" w:rsidRDefault="00727463" w:rsidP="00865BBB"/>
        </w:tc>
        <w:tc>
          <w:tcPr>
            <w:tcW w:w="630" w:type="dxa"/>
          </w:tcPr>
          <w:p w:rsidR="00727463" w:rsidRDefault="000E4EF4" w:rsidP="00865BBB">
            <w:r>
              <w:t>P</w:t>
            </w:r>
          </w:p>
        </w:tc>
        <w:tc>
          <w:tcPr>
            <w:tcW w:w="540" w:type="dxa"/>
          </w:tcPr>
          <w:p w:rsidR="00727463" w:rsidRDefault="000E4EF4" w:rsidP="00865BBB">
            <w:r>
              <w:t>P</w:t>
            </w:r>
          </w:p>
        </w:tc>
        <w:tc>
          <w:tcPr>
            <w:tcW w:w="720" w:type="dxa"/>
          </w:tcPr>
          <w:p w:rsidR="00727463" w:rsidRDefault="000E4EF4" w:rsidP="00865BBB">
            <w:r>
              <w:t>P</w:t>
            </w:r>
          </w:p>
        </w:tc>
        <w:tc>
          <w:tcPr>
            <w:tcW w:w="720" w:type="dxa"/>
          </w:tcPr>
          <w:p w:rsidR="00727463" w:rsidRDefault="000A75BA" w:rsidP="00865BBB">
            <w:r>
              <w:t>P</w:t>
            </w:r>
          </w:p>
        </w:tc>
        <w:tc>
          <w:tcPr>
            <w:tcW w:w="720" w:type="dxa"/>
          </w:tcPr>
          <w:p w:rsidR="00727463" w:rsidRDefault="00727463" w:rsidP="00865BBB"/>
        </w:tc>
        <w:tc>
          <w:tcPr>
            <w:tcW w:w="720" w:type="dxa"/>
          </w:tcPr>
          <w:p w:rsidR="00727463" w:rsidRDefault="00727463" w:rsidP="00865BBB"/>
        </w:tc>
        <w:tc>
          <w:tcPr>
            <w:tcW w:w="720" w:type="dxa"/>
          </w:tcPr>
          <w:p w:rsidR="00727463" w:rsidRDefault="00727463" w:rsidP="00865BBB"/>
        </w:tc>
      </w:tr>
      <w:tr w:rsidR="00727463" w:rsidTr="00143FF9">
        <w:tc>
          <w:tcPr>
            <w:tcW w:w="2965" w:type="dxa"/>
          </w:tcPr>
          <w:p w:rsidR="00727463" w:rsidRDefault="00727463" w:rsidP="00865BBB">
            <w:r>
              <w:t>Catrena Lisse (Secretary)</w:t>
            </w:r>
          </w:p>
        </w:tc>
        <w:tc>
          <w:tcPr>
            <w:tcW w:w="720" w:type="dxa"/>
          </w:tcPr>
          <w:p w:rsidR="00727463" w:rsidRDefault="00727463" w:rsidP="00865BBB"/>
        </w:tc>
        <w:tc>
          <w:tcPr>
            <w:tcW w:w="630" w:type="dxa"/>
          </w:tcPr>
          <w:p w:rsidR="00727463" w:rsidRDefault="000E4EF4" w:rsidP="00865BBB">
            <w:r>
              <w:t>P</w:t>
            </w:r>
          </w:p>
        </w:tc>
        <w:tc>
          <w:tcPr>
            <w:tcW w:w="540" w:type="dxa"/>
          </w:tcPr>
          <w:p w:rsidR="00727463" w:rsidRDefault="000E4EF4" w:rsidP="00865BBB">
            <w:r>
              <w:t>P</w:t>
            </w:r>
          </w:p>
        </w:tc>
        <w:tc>
          <w:tcPr>
            <w:tcW w:w="720" w:type="dxa"/>
          </w:tcPr>
          <w:p w:rsidR="00727463" w:rsidRDefault="000E4EF4" w:rsidP="00865BBB">
            <w:r>
              <w:t>P</w:t>
            </w:r>
          </w:p>
        </w:tc>
        <w:tc>
          <w:tcPr>
            <w:tcW w:w="720" w:type="dxa"/>
          </w:tcPr>
          <w:p w:rsidR="00727463" w:rsidRDefault="000A75BA" w:rsidP="00865BBB">
            <w:r>
              <w:t xml:space="preserve">R </w:t>
            </w:r>
          </w:p>
        </w:tc>
        <w:tc>
          <w:tcPr>
            <w:tcW w:w="720" w:type="dxa"/>
          </w:tcPr>
          <w:p w:rsidR="00727463" w:rsidRDefault="00727463" w:rsidP="00865BBB"/>
        </w:tc>
        <w:tc>
          <w:tcPr>
            <w:tcW w:w="720" w:type="dxa"/>
          </w:tcPr>
          <w:p w:rsidR="00727463" w:rsidRDefault="00727463" w:rsidP="00865BBB"/>
        </w:tc>
        <w:tc>
          <w:tcPr>
            <w:tcW w:w="720" w:type="dxa"/>
          </w:tcPr>
          <w:p w:rsidR="00727463" w:rsidRDefault="00727463" w:rsidP="00865BBB"/>
        </w:tc>
      </w:tr>
      <w:tr w:rsidR="00727463" w:rsidTr="00143FF9">
        <w:tc>
          <w:tcPr>
            <w:tcW w:w="2965" w:type="dxa"/>
          </w:tcPr>
          <w:p w:rsidR="00727463" w:rsidRDefault="00727463" w:rsidP="00865BBB">
            <w:r>
              <w:t>Glynnis Haley (EFS)</w:t>
            </w:r>
          </w:p>
        </w:tc>
        <w:tc>
          <w:tcPr>
            <w:tcW w:w="720" w:type="dxa"/>
          </w:tcPr>
          <w:p w:rsidR="00727463" w:rsidRDefault="00727463" w:rsidP="00865BBB"/>
        </w:tc>
        <w:tc>
          <w:tcPr>
            <w:tcW w:w="630" w:type="dxa"/>
          </w:tcPr>
          <w:p w:rsidR="00727463" w:rsidRDefault="000E4EF4" w:rsidP="00865BBB">
            <w:r>
              <w:t>P</w:t>
            </w:r>
          </w:p>
        </w:tc>
        <w:tc>
          <w:tcPr>
            <w:tcW w:w="540" w:type="dxa"/>
          </w:tcPr>
          <w:p w:rsidR="00727463" w:rsidRDefault="000E4EF4" w:rsidP="00865BBB">
            <w:r>
              <w:t>R</w:t>
            </w:r>
          </w:p>
        </w:tc>
        <w:tc>
          <w:tcPr>
            <w:tcW w:w="720" w:type="dxa"/>
          </w:tcPr>
          <w:p w:rsidR="00727463" w:rsidRDefault="000E4EF4" w:rsidP="00865BBB">
            <w:r>
              <w:t>P</w:t>
            </w:r>
          </w:p>
        </w:tc>
        <w:tc>
          <w:tcPr>
            <w:tcW w:w="720" w:type="dxa"/>
          </w:tcPr>
          <w:p w:rsidR="00727463" w:rsidRDefault="000A75BA" w:rsidP="00865BBB">
            <w:r>
              <w:t>P</w:t>
            </w:r>
          </w:p>
        </w:tc>
        <w:tc>
          <w:tcPr>
            <w:tcW w:w="720" w:type="dxa"/>
          </w:tcPr>
          <w:p w:rsidR="00727463" w:rsidRDefault="00727463" w:rsidP="00865BBB"/>
        </w:tc>
        <w:tc>
          <w:tcPr>
            <w:tcW w:w="720" w:type="dxa"/>
          </w:tcPr>
          <w:p w:rsidR="00727463" w:rsidRDefault="00727463" w:rsidP="00865BBB"/>
        </w:tc>
        <w:tc>
          <w:tcPr>
            <w:tcW w:w="720" w:type="dxa"/>
          </w:tcPr>
          <w:p w:rsidR="00727463" w:rsidRDefault="00727463" w:rsidP="00865BBB"/>
        </w:tc>
      </w:tr>
      <w:tr w:rsidR="00727463" w:rsidTr="00143FF9">
        <w:tc>
          <w:tcPr>
            <w:tcW w:w="2965" w:type="dxa"/>
          </w:tcPr>
          <w:p w:rsidR="00727463" w:rsidRDefault="00727463" w:rsidP="00865BBB">
            <w:r>
              <w:t>Sabrina Hom (EFS)</w:t>
            </w:r>
          </w:p>
        </w:tc>
        <w:tc>
          <w:tcPr>
            <w:tcW w:w="720" w:type="dxa"/>
          </w:tcPr>
          <w:p w:rsidR="00727463" w:rsidRDefault="00727463" w:rsidP="00865BBB"/>
        </w:tc>
        <w:tc>
          <w:tcPr>
            <w:tcW w:w="630" w:type="dxa"/>
          </w:tcPr>
          <w:p w:rsidR="00727463" w:rsidRDefault="000E4EF4" w:rsidP="00865BBB">
            <w:r>
              <w:t>na</w:t>
            </w:r>
          </w:p>
        </w:tc>
        <w:tc>
          <w:tcPr>
            <w:tcW w:w="540" w:type="dxa"/>
          </w:tcPr>
          <w:p w:rsidR="00727463" w:rsidRDefault="000E4EF4" w:rsidP="00865BBB">
            <w:r>
              <w:t>na</w:t>
            </w:r>
          </w:p>
        </w:tc>
        <w:tc>
          <w:tcPr>
            <w:tcW w:w="720" w:type="dxa"/>
          </w:tcPr>
          <w:p w:rsidR="00727463" w:rsidRDefault="000E4EF4" w:rsidP="00865BBB">
            <w:r>
              <w:t>na</w:t>
            </w:r>
          </w:p>
        </w:tc>
        <w:tc>
          <w:tcPr>
            <w:tcW w:w="720" w:type="dxa"/>
          </w:tcPr>
          <w:p w:rsidR="00727463" w:rsidRDefault="000A75BA" w:rsidP="00865BBB">
            <w:r>
              <w:t>P</w:t>
            </w:r>
          </w:p>
        </w:tc>
        <w:tc>
          <w:tcPr>
            <w:tcW w:w="720" w:type="dxa"/>
          </w:tcPr>
          <w:p w:rsidR="00727463" w:rsidRDefault="00727463" w:rsidP="00865BBB"/>
        </w:tc>
        <w:tc>
          <w:tcPr>
            <w:tcW w:w="720" w:type="dxa"/>
          </w:tcPr>
          <w:p w:rsidR="00727463" w:rsidRDefault="00727463" w:rsidP="00865BBB"/>
        </w:tc>
        <w:tc>
          <w:tcPr>
            <w:tcW w:w="720" w:type="dxa"/>
          </w:tcPr>
          <w:p w:rsidR="00727463" w:rsidRDefault="00727463" w:rsidP="00865BBB"/>
        </w:tc>
      </w:tr>
      <w:tr w:rsidR="00727463" w:rsidTr="00143FF9">
        <w:tc>
          <w:tcPr>
            <w:tcW w:w="2965" w:type="dxa"/>
          </w:tcPr>
          <w:p w:rsidR="00727463" w:rsidRDefault="00727463" w:rsidP="00511EA6">
            <w:r>
              <w:t>Alisa Liles (EFS)</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511EA6">
            <w:r>
              <w:t>P</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t>Joanne Previts (EFS)</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511EA6">
            <w:r>
              <w:t>P</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t>Carol Sapp (EFS)</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0A75BA">
            <w:r>
              <w:t>R</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t>James Winchester (EFS)</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0A75BA">
            <w:r>
              <w:t>n</w:t>
            </w:r>
            <w:r w:rsidR="000E4EF4">
              <w:t>a</w:t>
            </w:r>
          </w:p>
        </w:tc>
        <w:tc>
          <w:tcPr>
            <w:tcW w:w="720" w:type="dxa"/>
          </w:tcPr>
          <w:p w:rsidR="00727463" w:rsidRDefault="000E4EF4" w:rsidP="00511EA6">
            <w:r>
              <w:t>na</w:t>
            </w:r>
          </w:p>
        </w:tc>
        <w:tc>
          <w:tcPr>
            <w:tcW w:w="720" w:type="dxa"/>
          </w:tcPr>
          <w:p w:rsidR="00727463" w:rsidRDefault="000E4EF4" w:rsidP="00511EA6">
            <w:r>
              <w:t>na</w:t>
            </w:r>
          </w:p>
        </w:tc>
        <w:tc>
          <w:tcPr>
            <w:tcW w:w="720" w:type="dxa"/>
          </w:tcPr>
          <w:p w:rsidR="00727463" w:rsidRDefault="00727463" w:rsidP="00511EA6"/>
        </w:tc>
      </w:tr>
      <w:tr w:rsidR="00727463" w:rsidTr="00143FF9">
        <w:tc>
          <w:tcPr>
            <w:tcW w:w="2965" w:type="dxa"/>
          </w:tcPr>
          <w:p w:rsidR="00727463" w:rsidRDefault="00727463" w:rsidP="00511EA6">
            <w:r>
              <w:t>Carolyn Denard</w:t>
            </w:r>
            <w:r w:rsidR="002F5467">
              <w:t xml:space="preserve"> (Prov Des)</w:t>
            </w:r>
          </w:p>
        </w:tc>
        <w:tc>
          <w:tcPr>
            <w:tcW w:w="720" w:type="dxa"/>
          </w:tcPr>
          <w:p w:rsidR="00727463" w:rsidRDefault="00727463" w:rsidP="00511EA6"/>
        </w:tc>
        <w:tc>
          <w:tcPr>
            <w:tcW w:w="630" w:type="dxa"/>
          </w:tcPr>
          <w:p w:rsidR="00727463" w:rsidRDefault="000E4EF4" w:rsidP="00511EA6">
            <w:r>
              <w:t>R</w:t>
            </w:r>
          </w:p>
        </w:tc>
        <w:tc>
          <w:tcPr>
            <w:tcW w:w="540" w:type="dxa"/>
          </w:tcPr>
          <w:p w:rsidR="00727463" w:rsidRDefault="000E4EF4" w:rsidP="00511EA6">
            <w:r>
              <w:t>A</w:t>
            </w:r>
          </w:p>
        </w:tc>
        <w:tc>
          <w:tcPr>
            <w:tcW w:w="720" w:type="dxa"/>
          </w:tcPr>
          <w:p w:rsidR="00727463" w:rsidRDefault="000E4EF4" w:rsidP="00511EA6">
            <w:r>
              <w:t>A</w:t>
            </w:r>
          </w:p>
        </w:tc>
        <w:tc>
          <w:tcPr>
            <w:tcW w:w="720" w:type="dxa"/>
          </w:tcPr>
          <w:p w:rsidR="00727463" w:rsidRDefault="000A75BA" w:rsidP="00511EA6">
            <w:r>
              <w:t>R</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2F5467">
            <w:r>
              <w:t>Mike Gleason</w:t>
            </w:r>
            <w:r w:rsidR="002F5467">
              <w:t xml:space="preserve"> (Vol.)</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R</w:t>
            </w:r>
          </w:p>
        </w:tc>
        <w:tc>
          <w:tcPr>
            <w:tcW w:w="720" w:type="dxa"/>
          </w:tcPr>
          <w:p w:rsidR="00727463" w:rsidRDefault="000E4EF4" w:rsidP="00511EA6">
            <w:r>
              <w:t>P</w:t>
            </w:r>
          </w:p>
        </w:tc>
        <w:tc>
          <w:tcPr>
            <w:tcW w:w="720" w:type="dxa"/>
          </w:tcPr>
          <w:p w:rsidR="00727463" w:rsidRDefault="000A75BA" w:rsidP="00511EA6">
            <w:r>
              <w:t>R</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t>Samuel Mutiti</w:t>
            </w:r>
            <w:r w:rsidR="002F5467">
              <w:t xml:space="preserve"> (Vol.)</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511EA6">
            <w:r>
              <w:t>P</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t>Christina Smith</w:t>
            </w:r>
            <w:r w:rsidR="002F5467">
              <w:t xml:space="preserve"> (Vol.)</w:t>
            </w:r>
          </w:p>
        </w:tc>
        <w:tc>
          <w:tcPr>
            <w:tcW w:w="720" w:type="dxa"/>
          </w:tcPr>
          <w:p w:rsidR="00727463" w:rsidRDefault="00727463" w:rsidP="00511EA6"/>
        </w:tc>
        <w:tc>
          <w:tcPr>
            <w:tcW w:w="630" w:type="dxa"/>
          </w:tcPr>
          <w:p w:rsidR="00727463" w:rsidRDefault="000E4EF4" w:rsidP="00511EA6">
            <w:r>
              <w:t>P</w:t>
            </w:r>
          </w:p>
        </w:tc>
        <w:tc>
          <w:tcPr>
            <w:tcW w:w="540" w:type="dxa"/>
          </w:tcPr>
          <w:p w:rsidR="00727463" w:rsidRDefault="000E4EF4" w:rsidP="00511EA6">
            <w:r>
              <w:t>P</w:t>
            </w:r>
          </w:p>
        </w:tc>
        <w:tc>
          <w:tcPr>
            <w:tcW w:w="720" w:type="dxa"/>
          </w:tcPr>
          <w:p w:rsidR="00727463" w:rsidRDefault="000E4EF4" w:rsidP="00511EA6">
            <w:r>
              <w:t>P</w:t>
            </w:r>
          </w:p>
        </w:tc>
        <w:tc>
          <w:tcPr>
            <w:tcW w:w="720" w:type="dxa"/>
          </w:tcPr>
          <w:p w:rsidR="00727463" w:rsidRDefault="000A75BA" w:rsidP="00511EA6">
            <w:r>
              <w:t>P</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r w:rsidR="00727463" w:rsidTr="00143FF9">
        <w:tc>
          <w:tcPr>
            <w:tcW w:w="2965" w:type="dxa"/>
          </w:tcPr>
          <w:p w:rsidR="00727463" w:rsidRDefault="00727463" w:rsidP="00511EA6">
            <w:r>
              <w:lastRenderedPageBreak/>
              <w:t>Hali Sofala-Jones</w:t>
            </w:r>
            <w:r w:rsidR="002F5467">
              <w:t xml:space="preserve"> (student)</w:t>
            </w:r>
          </w:p>
        </w:tc>
        <w:tc>
          <w:tcPr>
            <w:tcW w:w="720" w:type="dxa"/>
          </w:tcPr>
          <w:p w:rsidR="00727463" w:rsidRDefault="00727463" w:rsidP="00511EA6"/>
        </w:tc>
        <w:tc>
          <w:tcPr>
            <w:tcW w:w="630" w:type="dxa"/>
          </w:tcPr>
          <w:p w:rsidR="00727463" w:rsidRDefault="000E4EF4" w:rsidP="00511EA6">
            <w:r>
              <w:t>A</w:t>
            </w:r>
          </w:p>
        </w:tc>
        <w:tc>
          <w:tcPr>
            <w:tcW w:w="540" w:type="dxa"/>
          </w:tcPr>
          <w:p w:rsidR="00727463" w:rsidRDefault="000E4EF4" w:rsidP="00511EA6">
            <w:r>
              <w:t>A</w:t>
            </w:r>
          </w:p>
        </w:tc>
        <w:tc>
          <w:tcPr>
            <w:tcW w:w="720" w:type="dxa"/>
          </w:tcPr>
          <w:p w:rsidR="00727463" w:rsidRDefault="000E4EF4" w:rsidP="00511EA6">
            <w:r>
              <w:t>A</w:t>
            </w:r>
          </w:p>
        </w:tc>
        <w:tc>
          <w:tcPr>
            <w:tcW w:w="720" w:type="dxa"/>
          </w:tcPr>
          <w:p w:rsidR="00727463" w:rsidRDefault="000A75BA" w:rsidP="00511EA6">
            <w:r>
              <w:t>A</w:t>
            </w:r>
          </w:p>
        </w:tc>
        <w:tc>
          <w:tcPr>
            <w:tcW w:w="720" w:type="dxa"/>
          </w:tcPr>
          <w:p w:rsidR="00727463" w:rsidRDefault="00727463" w:rsidP="00511EA6"/>
        </w:tc>
        <w:tc>
          <w:tcPr>
            <w:tcW w:w="720" w:type="dxa"/>
          </w:tcPr>
          <w:p w:rsidR="00727463" w:rsidRDefault="00727463" w:rsidP="00511EA6"/>
        </w:tc>
        <w:tc>
          <w:tcPr>
            <w:tcW w:w="720" w:type="dxa"/>
          </w:tcPr>
          <w:p w:rsidR="00727463" w:rsidRDefault="00727463" w:rsidP="00511EA6"/>
        </w:tc>
      </w:tr>
    </w:tbl>
    <w:p w:rsidR="00865BBB" w:rsidRDefault="00865BBB" w:rsidP="00865BBB"/>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E3676A" w:rsidRPr="00E3676A" w:rsidRDefault="007E4CE5" w:rsidP="00E3676A">
      <w:pPr>
        <w:pStyle w:val="NormalWeb"/>
        <w:numPr>
          <w:ilvl w:val="0"/>
          <w:numId w:val="1"/>
        </w:numPr>
        <w:rPr>
          <w:rFonts w:asciiTheme="minorHAnsi" w:hAnsiTheme="minorHAnsi"/>
          <w:color w:val="000000"/>
        </w:rPr>
      </w:pPr>
      <w:r>
        <w:rPr>
          <w:iCs/>
        </w:rPr>
        <w:t>1718.APC.001.P (committee vote: unanimous in support)</w:t>
      </w:r>
      <w:r w:rsidR="00E3676A">
        <w:rPr>
          <w:iCs/>
        </w:rPr>
        <w:t xml:space="preserve"> – </w:t>
      </w:r>
    </w:p>
    <w:p w:rsidR="00E3676A" w:rsidRPr="00B16680" w:rsidRDefault="00E3676A" w:rsidP="00E3676A">
      <w:pPr>
        <w:pStyle w:val="NormalWeb"/>
        <w:ind w:left="1080"/>
        <w:rPr>
          <w:rFonts w:asciiTheme="minorHAnsi" w:hAnsiTheme="minorHAnsi"/>
          <w:color w:val="000000"/>
        </w:rPr>
      </w:pPr>
      <w:r w:rsidRPr="00B16680">
        <w:rPr>
          <w:rFonts w:asciiTheme="minorHAnsi" w:hAnsiTheme="minorHAnsi"/>
          <w:color w:val="000000"/>
        </w:rPr>
        <w:t>Office hours:  We have considered the current wording of the posted office hour policy in the policy manual, “</w:t>
      </w:r>
      <w:r w:rsidRPr="00B16680">
        <w:rPr>
          <w:rFonts w:asciiTheme="minorHAnsi" w:hAnsiTheme="minorHAnsi" w:cs="Helvetica"/>
          <w:color w:val="333333"/>
          <w:shd w:val="clear" w:color="auto" w:fill="FFFFFF"/>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E3676A" w:rsidRPr="00B16680" w:rsidRDefault="00E3676A" w:rsidP="00E3676A">
      <w:pPr>
        <w:pStyle w:val="NormalWeb"/>
        <w:ind w:left="1080"/>
        <w:rPr>
          <w:rStyle w:val="Hyperlink"/>
          <w:rFonts w:asciiTheme="minorHAnsi" w:hAnsiTheme="minorHAnsi"/>
        </w:rPr>
      </w:pPr>
      <w:r w:rsidRPr="00B16680">
        <w:rPr>
          <w:rFonts w:asciiTheme="minorHAnsi" w:hAnsiTheme="minorHAnsi"/>
        </w:rPr>
        <w:t>(</w:t>
      </w:r>
      <w:hyperlink r:id="rId8" w:history="1">
        <w:r w:rsidRPr="00B16680">
          <w:rPr>
            <w:rStyle w:val="Hyperlink"/>
            <w:rFonts w:asciiTheme="minorHAnsi" w:hAnsiTheme="minorHAnsi"/>
          </w:rPr>
          <w:t>http://gcsu.smartcatalogiq.com/Policy-Manual/Policy-Manual/Academic-Affairs/EmploymentPolicies-Procedures-Benefits/Faculty-Rights-and-Responsibilities/Faculty-Work-Requirements/Office-Hours-Posting</w:t>
        </w:r>
      </w:hyperlink>
      <w:r w:rsidRPr="00B16680">
        <w:rPr>
          <w:rStyle w:val="Hyperlink"/>
          <w:rFonts w:asciiTheme="minorHAnsi" w:hAnsiTheme="minorHAnsi"/>
        </w:rPr>
        <w:t>)</w:t>
      </w:r>
    </w:p>
    <w:p w:rsidR="00E3676A" w:rsidRDefault="00E3676A" w:rsidP="00E3676A">
      <w:pPr>
        <w:pStyle w:val="NormalWeb"/>
        <w:ind w:left="1080"/>
        <w:rPr>
          <w:rFonts w:asciiTheme="minorHAnsi" w:hAnsiTheme="minorHAnsi"/>
          <w:color w:val="000000"/>
        </w:rPr>
      </w:pPr>
      <w:r w:rsidRPr="00B16680">
        <w:rPr>
          <w:rFonts w:asciiTheme="minorHAnsi" w:hAnsiTheme="minorHAnsi"/>
          <w:color w:val="000000"/>
        </w:rPr>
        <w:t xml:space="preserve">We considered the final sentence to create constraints that are not entirely consistent with the spirit of the regulation and inappropriate for some circumstances (for example, programs that require considerable field work supervision).  </w:t>
      </w:r>
    </w:p>
    <w:p w:rsidR="00E3676A" w:rsidRPr="00B16680" w:rsidRDefault="00E3676A" w:rsidP="00E3676A">
      <w:pPr>
        <w:pStyle w:val="NormalWeb"/>
        <w:ind w:left="1800"/>
        <w:rPr>
          <w:rFonts w:asciiTheme="minorHAnsi" w:hAnsiTheme="minorHAnsi"/>
          <w:color w:val="000000"/>
        </w:rPr>
      </w:pPr>
      <w:r>
        <w:rPr>
          <w:rFonts w:asciiTheme="minorHAnsi" w:hAnsiTheme="minorHAnsi"/>
          <w:color w:val="000000"/>
        </w:rPr>
        <w:t xml:space="preserve">Motion: </w:t>
      </w:r>
      <w:r w:rsidRPr="00B16680">
        <w:rPr>
          <w:rFonts w:asciiTheme="minorHAnsi" w:hAnsiTheme="minorHAnsi"/>
          <w:color w:val="000000"/>
        </w:rPr>
        <w:t>Reword the final sentence from “In no case shall posted office hours for student consultation be less than a minimum of one clock hour a day.” To “In no case shall posted office hours for student consultation be less than five hours (300 minutes) per week.”  Note: the inclusion for “300 minutes” to clarify what constitutes five hours is there because some academics are of the mindset that an instructional hour consists of 50 minutes.</w:t>
      </w:r>
    </w:p>
    <w:p w:rsidR="00E3676A" w:rsidRPr="00B16680" w:rsidRDefault="00E3676A" w:rsidP="00E3676A">
      <w:pPr>
        <w:pStyle w:val="NormalWeb"/>
        <w:ind w:left="1080"/>
        <w:rPr>
          <w:rFonts w:asciiTheme="minorHAnsi" w:hAnsiTheme="minorHAnsi"/>
          <w:color w:val="000000"/>
        </w:rPr>
      </w:pPr>
      <w:r>
        <w:rPr>
          <w:rFonts w:asciiTheme="minorHAnsi" w:hAnsiTheme="minorHAnsi"/>
          <w:color w:val="000000"/>
        </w:rPr>
        <w:t>Motion passes Senate.</w:t>
      </w:r>
    </w:p>
    <w:p w:rsidR="007E4CE5" w:rsidRPr="007E4CE5" w:rsidRDefault="007E4CE5" w:rsidP="00865BBB">
      <w:pPr>
        <w:rPr>
          <w:iCs/>
        </w:rPr>
      </w:pPr>
    </w:p>
    <w:p w:rsidR="007E4CE5" w:rsidRDefault="007E4CE5" w:rsidP="007E4CE5">
      <w:pPr>
        <w:rPr>
          <w:iCs/>
        </w:rPr>
      </w:pPr>
      <w:r>
        <w:rPr>
          <w:iCs/>
        </w:rPr>
        <w:t>1718.APC.002.P (committee vote: unanimous in support)</w:t>
      </w:r>
    </w:p>
    <w:p w:rsidR="00E3676A" w:rsidRPr="00B16680" w:rsidRDefault="00E3676A" w:rsidP="00E3676A">
      <w:pPr>
        <w:pStyle w:val="NormalWeb"/>
        <w:ind w:left="1080"/>
        <w:rPr>
          <w:rFonts w:asciiTheme="minorHAnsi" w:hAnsiTheme="minorHAnsi"/>
          <w:color w:val="000000"/>
        </w:rPr>
      </w:pPr>
      <w:r w:rsidRPr="00B16680">
        <w:rPr>
          <w:rFonts w:asciiTheme="minorHAnsi" w:hAnsiTheme="minorHAnsi"/>
          <w:color w:val="000000"/>
        </w:rPr>
        <w:t>Office hours:  We have considered the current wording of the posted office hour policy in the policy manual, “</w:t>
      </w:r>
      <w:r w:rsidRPr="00B16680">
        <w:rPr>
          <w:rFonts w:asciiTheme="minorHAnsi" w:hAnsiTheme="minorHAnsi" w:cs="Helvetica"/>
          <w:color w:val="333333"/>
          <w:shd w:val="clear" w:color="auto" w:fill="FFFFFF"/>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E3676A" w:rsidRPr="00B16680" w:rsidRDefault="00E3676A" w:rsidP="00E3676A">
      <w:pPr>
        <w:pStyle w:val="NormalWeb"/>
        <w:ind w:left="1080"/>
        <w:rPr>
          <w:rStyle w:val="Hyperlink"/>
          <w:rFonts w:asciiTheme="minorHAnsi" w:hAnsiTheme="minorHAnsi"/>
        </w:rPr>
      </w:pPr>
      <w:r w:rsidRPr="00B16680">
        <w:rPr>
          <w:rFonts w:asciiTheme="minorHAnsi" w:hAnsiTheme="minorHAnsi"/>
        </w:rPr>
        <w:t>(</w:t>
      </w:r>
      <w:hyperlink r:id="rId9" w:history="1">
        <w:r w:rsidRPr="00B16680">
          <w:rPr>
            <w:rStyle w:val="Hyperlink"/>
            <w:rFonts w:asciiTheme="minorHAnsi" w:hAnsiTheme="minorHAnsi"/>
          </w:rPr>
          <w:t>http://gcsu.smartcatalogiq.com/Policy-Manual/Policy-Manual/Academic-Affairs/EmploymentPolicies-Procedures-Benefits/Faculty-Rights-and-Responsibilities/Faculty-Work-Requirements/Office-Hours-Posting</w:t>
        </w:r>
      </w:hyperlink>
      <w:r w:rsidRPr="00B16680">
        <w:rPr>
          <w:rStyle w:val="Hyperlink"/>
          <w:rFonts w:asciiTheme="minorHAnsi" w:hAnsiTheme="minorHAnsi"/>
        </w:rPr>
        <w:t>)</w:t>
      </w:r>
    </w:p>
    <w:p w:rsidR="00E3676A" w:rsidRDefault="00E3676A" w:rsidP="00E3676A">
      <w:pPr>
        <w:pStyle w:val="NormalWeb"/>
        <w:ind w:left="1080"/>
        <w:rPr>
          <w:rFonts w:asciiTheme="minorHAnsi" w:hAnsiTheme="minorHAnsi"/>
          <w:color w:val="000000"/>
        </w:rPr>
      </w:pPr>
      <w:r w:rsidRPr="00B16680">
        <w:rPr>
          <w:rFonts w:asciiTheme="minorHAnsi" w:hAnsiTheme="minorHAnsi"/>
          <w:color w:val="000000"/>
        </w:rPr>
        <w:t xml:space="preserve">We considered the final sentence to create constraints that are not entirely consistent with the spirit of the regulation and inappropriate for some circumstances (for example, programs that require considerable field work supervision).  </w:t>
      </w:r>
    </w:p>
    <w:p w:rsidR="00E3676A" w:rsidRPr="00B16680" w:rsidRDefault="00E3676A" w:rsidP="00E3676A">
      <w:pPr>
        <w:pStyle w:val="NormalWeb"/>
        <w:ind w:left="1800"/>
        <w:rPr>
          <w:rFonts w:asciiTheme="minorHAnsi" w:hAnsiTheme="minorHAnsi"/>
          <w:color w:val="000000"/>
        </w:rPr>
      </w:pPr>
      <w:r>
        <w:rPr>
          <w:rFonts w:asciiTheme="minorHAnsi" w:hAnsiTheme="minorHAnsi"/>
          <w:color w:val="000000"/>
        </w:rPr>
        <w:t xml:space="preserve">Motion: </w:t>
      </w:r>
      <w:r w:rsidRPr="00B16680">
        <w:rPr>
          <w:rFonts w:asciiTheme="minorHAnsi" w:hAnsiTheme="minorHAnsi"/>
          <w:color w:val="000000"/>
        </w:rPr>
        <w:t>Add at the end of the statement the following two sentences: “Scheduling opportunities for synchronous virtual communication with students is acceptable.  In the even</w:t>
      </w:r>
      <w:r>
        <w:rPr>
          <w:rFonts w:asciiTheme="minorHAnsi" w:hAnsiTheme="minorHAnsi"/>
          <w:color w:val="000000"/>
        </w:rPr>
        <w:t>t</w:t>
      </w:r>
      <w:r w:rsidRPr="00B16680">
        <w:rPr>
          <w:rFonts w:asciiTheme="minorHAnsi" w:hAnsiTheme="minorHAnsi"/>
          <w:color w:val="000000"/>
        </w:rPr>
        <w:t xml:space="preserve"> office hours are cancelled, faculty members should make a conscientious effort to reschedule them.”  </w:t>
      </w:r>
    </w:p>
    <w:p w:rsidR="00E3676A" w:rsidRDefault="00E3676A" w:rsidP="00E3676A">
      <w:pPr>
        <w:pStyle w:val="NormalWeb"/>
        <w:ind w:left="1080"/>
        <w:rPr>
          <w:rFonts w:asciiTheme="minorHAnsi" w:hAnsiTheme="minorHAnsi"/>
          <w:color w:val="000000"/>
        </w:rPr>
      </w:pPr>
      <w:r>
        <w:rPr>
          <w:rFonts w:asciiTheme="minorHAnsi" w:hAnsiTheme="minorHAnsi"/>
          <w:color w:val="000000"/>
        </w:rPr>
        <w:t>Motion was amended by Senate to delete the second sentence.  The motion was passed as amended.</w:t>
      </w:r>
    </w:p>
    <w:p w:rsidR="00E3676A" w:rsidRDefault="00E3676A" w:rsidP="007E4CE5">
      <w:pPr>
        <w:rPr>
          <w:iCs/>
        </w:rPr>
      </w:pPr>
    </w:p>
    <w:p w:rsidR="007E4CE5" w:rsidRDefault="007E4CE5" w:rsidP="007E4CE5">
      <w:pPr>
        <w:rPr>
          <w:iCs/>
        </w:rPr>
      </w:pPr>
      <w:r>
        <w:rPr>
          <w:iCs/>
        </w:rPr>
        <w:t>1718.APC.003.P (committee vote: 6 for 3 against)</w:t>
      </w:r>
      <w:r w:rsidR="00E3676A">
        <w:rPr>
          <w:iCs/>
        </w:rPr>
        <w:t xml:space="preserve"> </w:t>
      </w:r>
    </w:p>
    <w:p w:rsidR="00E3676A" w:rsidRDefault="00E3676A" w:rsidP="00E3676A">
      <w:pPr>
        <w:ind w:left="1080"/>
        <w:rPr>
          <w:rFonts w:asciiTheme="minorHAnsi" w:hAnsiTheme="minorHAnsi"/>
          <w:sz w:val="22"/>
          <w:szCs w:val="22"/>
        </w:rPr>
      </w:pPr>
      <w:r w:rsidRPr="00E3676A">
        <w:rPr>
          <w:rFonts w:asciiTheme="minorHAnsi" w:hAnsiTheme="minorHAnsi"/>
          <w:sz w:val="22"/>
          <w:szCs w:val="22"/>
        </w:rPr>
        <w:t>We considered the problem of faculty members using the last day of class as if it were the exam period.  Apparently the problem is wide-spread enough that we believe an attempt should be made to curb the practice.</w:t>
      </w:r>
    </w:p>
    <w:p w:rsidR="00E3676A" w:rsidRDefault="00E3676A" w:rsidP="00E3676A">
      <w:pPr>
        <w:ind w:left="1890"/>
        <w:rPr>
          <w:rFonts w:asciiTheme="minorHAnsi" w:hAnsiTheme="minorHAnsi"/>
          <w:sz w:val="22"/>
          <w:szCs w:val="22"/>
        </w:rPr>
      </w:pPr>
      <w:r>
        <w:rPr>
          <w:rFonts w:asciiTheme="minorHAnsi" w:hAnsiTheme="minorHAnsi"/>
          <w:sz w:val="22"/>
          <w:szCs w:val="22"/>
        </w:rPr>
        <w:lastRenderedPageBreak/>
        <w:t xml:space="preserve">Motion: </w:t>
      </w:r>
      <w:r w:rsidRPr="00E3676A">
        <w:rPr>
          <w:rFonts w:asciiTheme="minorHAnsi" w:hAnsiTheme="minorHAnsi"/>
          <w:color w:val="444444"/>
          <w:sz w:val="22"/>
          <w:szCs w:val="22"/>
          <w:shd w:val="clear" w:color="auto" w:fill="FFFFFF"/>
        </w:rPr>
        <w:t>“The final assigned assessment of any class should be scheduled (or due) during the finals week whenever possible.”</w:t>
      </w:r>
      <w:r>
        <w:rPr>
          <w:rFonts w:ascii="Helvetica" w:hAnsi="Helvetica"/>
          <w:color w:val="444444"/>
          <w:sz w:val="21"/>
          <w:szCs w:val="21"/>
          <w:shd w:val="clear" w:color="auto" w:fill="FFFFFF"/>
        </w:rPr>
        <w:t>  </w:t>
      </w:r>
      <w:r>
        <w:rPr>
          <w:rFonts w:asciiTheme="minorHAnsi" w:hAnsiTheme="minorHAnsi"/>
          <w:sz w:val="22"/>
          <w:szCs w:val="22"/>
        </w:rPr>
        <w:t xml:space="preserve"> </w:t>
      </w:r>
    </w:p>
    <w:p w:rsidR="00E3676A" w:rsidRPr="00E3676A" w:rsidRDefault="00E3676A" w:rsidP="00E3676A">
      <w:pPr>
        <w:ind w:left="1080"/>
        <w:rPr>
          <w:rFonts w:asciiTheme="minorHAnsi" w:hAnsiTheme="minorHAnsi"/>
          <w:iCs/>
          <w:sz w:val="22"/>
          <w:szCs w:val="22"/>
        </w:rPr>
      </w:pPr>
      <w:r>
        <w:rPr>
          <w:rFonts w:asciiTheme="minorHAnsi" w:hAnsiTheme="minorHAnsi"/>
          <w:sz w:val="22"/>
          <w:szCs w:val="22"/>
        </w:rPr>
        <w:t>Motion was tabled by Senate to be considered at the first fall meeting of Senate.</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9C0C9A" w:rsidP="00865BBB">
      <w:r>
        <w:rPr>
          <w:rFonts w:asciiTheme="minorHAnsi" w:hAnsiTheme="minorHAnsi"/>
          <w:sz w:val="22"/>
          <w:szCs w:val="22"/>
        </w:rPr>
        <w:t xml:space="preserve">APC received a request from Student Government to look into ways to improve the reporting of student progress throughout the semester.  APC requested the posting of links to GCSU policy concerning the requirement of providing feedback to students in all classes (not just Gen Ed classes) prior to mid-terms.  The links are now available in PAWS and the Faculty Handbook.  While no additional policy was deemed necessary, this is likely to be an issue that will be revisited.   </w:t>
      </w:r>
      <w:r w:rsidR="00865BBB">
        <w:t> </w:t>
      </w:r>
    </w:p>
    <w:p w:rsidR="009C0C9A" w:rsidRDefault="00770199" w:rsidP="00865BBB">
      <w:pPr>
        <w:rPr>
          <w:rFonts w:asciiTheme="minorHAnsi" w:hAnsiTheme="minorHAnsi"/>
          <w:sz w:val="22"/>
          <w:szCs w:val="22"/>
        </w:rPr>
      </w:pPr>
      <w:r>
        <w:rPr>
          <w:rFonts w:asciiTheme="minorHAnsi" w:hAnsiTheme="minorHAnsi"/>
          <w:sz w:val="22"/>
          <w:szCs w:val="22"/>
        </w:rPr>
        <w:t xml:space="preserve">APC considered if a policy was needed to guide departments in preparing for make-up days if too many days are lost to inclement weather or other emergency.  BOR and SACSC Policy is vague on the matter and no uniform approach was deemed feasible.  No further action taken.  </w:t>
      </w:r>
    </w:p>
    <w:p w:rsidR="00770199" w:rsidRPr="00770199" w:rsidRDefault="00770199" w:rsidP="00865BBB">
      <w:pPr>
        <w:rPr>
          <w:rFonts w:asciiTheme="minorHAnsi" w:hAnsiTheme="minorHAnsi"/>
          <w:sz w:val="22"/>
          <w:szCs w:val="22"/>
        </w:rPr>
      </w:pPr>
      <w:r>
        <w:rPr>
          <w:rFonts w:asciiTheme="minorHAnsi" w:hAnsiTheme="minorHAnsi"/>
          <w:sz w:val="22"/>
          <w:szCs w:val="22"/>
        </w:rPr>
        <w:t xml:space="preserve">APC received a request from Student Government to extend the drop (withdraw) without financial or academic penalty deadline.  In discussion with the Registrar, it became evident that extending the drop period, students would not be able to receive aid moneys in a timely manner.  It would also interfere with registration deadlines for the following semester.  No further discussion was had. </w:t>
      </w:r>
    </w:p>
    <w:p w:rsidR="00770199" w:rsidRDefault="00770199" w:rsidP="00865BBB">
      <w:pPr>
        <w:rPr>
          <w:b/>
          <w:bCs/>
          <w:sz w:val="20"/>
          <w:szCs w:val="20"/>
        </w:rPr>
      </w:pPr>
    </w:p>
    <w:p w:rsidR="00865BBB" w:rsidRDefault="00865BBB" w:rsidP="00865BBB">
      <w:pPr>
        <w:rPr>
          <w:b/>
          <w:bCs/>
          <w:sz w:val="20"/>
          <w:szCs w:val="20"/>
        </w:rPr>
      </w:pPr>
      <w:r>
        <w:rPr>
          <w:b/>
          <w:bCs/>
          <w:sz w:val="20"/>
          <w:szCs w:val="20"/>
        </w:rPr>
        <w:t>Ad hoc committees and other groups:</w:t>
      </w:r>
      <w:r w:rsidR="007E4CE5">
        <w:rPr>
          <w:b/>
          <w:bCs/>
          <w:sz w:val="20"/>
          <w:szCs w:val="20"/>
        </w:rPr>
        <w:t xml:space="preserve"> </w:t>
      </w:r>
      <w:r w:rsidR="00375DBC">
        <w:rPr>
          <w:b/>
          <w:bCs/>
          <w:sz w:val="20"/>
          <w:szCs w:val="20"/>
        </w:rPr>
        <w:t>Academic Calendar Committee</w:t>
      </w:r>
    </w:p>
    <w:p w:rsidR="00375DBC" w:rsidRPr="00770199" w:rsidRDefault="00375DBC" w:rsidP="00865BBB">
      <w:pPr>
        <w:rPr>
          <w:rFonts w:asciiTheme="minorHAnsi" w:hAnsiTheme="minorHAnsi"/>
          <w:sz w:val="22"/>
          <w:szCs w:val="22"/>
        </w:rPr>
      </w:pPr>
      <w:r w:rsidRPr="00770199">
        <w:rPr>
          <w:rFonts w:asciiTheme="minorHAnsi" w:hAnsiTheme="minorHAnsi"/>
          <w:bCs/>
          <w:sz w:val="22"/>
          <w:szCs w:val="22"/>
        </w:rPr>
        <w:t xml:space="preserve">The Chair of APC convened the Academic Calendar Committee </w:t>
      </w:r>
      <w:r w:rsidR="00770199">
        <w:rPr>
          <w:rFonts w:asciiTheme="minorHAnsi" w:hAnsiTheme="minorHAnsi"/>
          <w:bCs/>
          <w:sz w:val="22"/>
          <w:szCs w:val="22"/>
        </w:rPr>
        <w:t xml:space="preserve">(Chaired by Tanya Goette) </w:t>
      </w:r>
      <w:r w:rsidRPr="00770199">
        <w:rPr>
          <w:rFonts w:asciiTheme="minorHAnsi" w:hAnsiTheme="minorHAnsi"/>
          <w:bCs/>
          <w:sz w:val="22"/>
          <w:szCs w:val="22"/>
        </w:rPr>
        <w:t xml:space="preserve">to suggest an academic calendar for the 2019-2021 academic years.  </w:t>
      </w:r>
      <w:r w:rsidR="009C0C9A" w:rsidRPr="00770199">
        <w:rPr>
          <w:rFonts w:asciiTheme="minorHAnsi" w:hAnsiTheme="minorHAnsi"/>
          <w:bCs/>
          <w:sz w:val="22"/>
          <w:szCs w:val="22"/>
        </w:rPr>
        <w:t>The calendar was submitted and ultimately approved by the President’s Leadership Team.  A copy will be available in the Senate archives.</w:t>
      </w:r>
    </w:p>
    <w:p w:rsidR="00865BBB" w:rsidRPr="00770199" w:rsidRDefault="00865BBB" w:rsidP="00865BBB">
      <w:pPr>
        <w:rPr>
          <w:rFonts w:asciiTheme="minorHAnsi" w:hAnsiTheme="minorHAnsi"/>
          <w:sz w:val="22"/>
          <w:szCs w:val="22"/>
        </w:rPr>
      </w:pPr>
      <w:r w:rsidRPr="00770199">
        <w:rPr>
          <w:rFonts w:asciiTheme="minorHAnsi" w:hAnsiTheme="minorHAnsi"/>
          <w:sz w:val="22"/>
          <w:szCs w:val="22"/>
        </w:rPr>
        <w:t> </w:t>
      </w:r>
    </w:p>
    <w:p w:rsidR="00865BBB" w:rsidRDefault="00865BBB" w:rsidP="00865BBB">
      <w:pPr>
        <w:rPr>
          <w:b/>
          <w:bCs/>
          <w:sz w:val="20"/>
          <w:szCs w:val="20"/>
        </w:rPr>
      </w:pPr>
      <w:r>
        <w:rPr>
          <w:b/>
          <w:bCs/>
          <w:sz w:val="20"/>
          <w:szCs w:val="20"/>
        </w:rPr>
        <w:t>Committee Reflections:</w:t>
      </w:r>
    </w:p>
    <w:p w:rsidR="00770199" w:rsidRPr="00770199" w:rsidRDefault="00770199" w:rsidP="00865BBB">
      <w:pPr>
        <w:rPr>
          <w:rFonts w:asciiTheme="minorHAnsi" w:hAnsiTheme="minorHAnsi"/>
          <w:sz w:val="22"/>
          <w:szCs w:val="22"/>
        </w:rPr>
      </w:pPr>
      <w:r>
        <w:rPr>
          <w:rFonts w:asciiTheme="minorHAnsi" w:hAnsiTheme="minorHAnsi"/>
          <w:bCs/>
          <w:sz w:val="22"/>
          <w:szCs w:val="22"/>
        </w:rPr>
        <w:t>The Committee worked well.  We enjoyed a lot of healthy debate.  We had enough issues to keep us busy but not so much as to be overwhelmed. We would have enjoyed more student involvement.</w:t>
      </w:r>
    </w:p>
    <w:p w:rsidR="00865BBB" w:rsidRDefault="00865BBB" w:rsidP="00865BBB">
      <w:r>
        <w:t> </w:t>
      </w:r>
    </w:p>
    <w:p w:rsidR="00865BBB" w:rsidRDefault="00865BBB" w:rsidP="00865BBB">
      <w:pPr>
        <w:rPr>
          <w:b/>
          <w:bCs/>
          <w:sz w:val="20"/>
          <w:szCs w:val="20"/>
        </w:rPr>
      </w:pPr>
      <w:r>
        <w:rPr>
          <w:b/>
          <w:bCs/>
          <w:sz w:val="20"/>
          <w:szCs w:val="20"/>
        </w:rPr>
        <w:t>Committee Recommendations:</w:t>
      </w:r>
    </w:p>
    <w:p w:rsidR="00913302" w:rsidRDefault="00913302" w:rsidP="00865BBB">
      <w:pPr>
        <w:rPr>
          <w:rFonts w:asciiTheme="minorHAnsi" w:hAnsiTheme="minorHAnsi"/>
          <w:bCs/>
          <w:sz w:val="22"/>
          <w:szCs w:val="22"/>
        </w:rPr>
      </w:pPr>
      <w:r>
        <w:rPr>
          <w:rFonts w:asciiTheme="minorHAnsi" w:hAnsiTheme="minorHAnsi"/>
          <w:bCs/>
          <w:sz w:val="22"/>
          <w:szCs w:val="22"/>
        </w:rPr>
        <w:t>Keep an eye on the issue of faculty providing timely feedback to students about grades.</w:t>
      </w:r>
    </w:p>
    <w:p w:rsidR="00913302" w:rsidRDefault="00913302" w:rsidP="00865BBB">
      <w:pPr>
        <w:rPr>
          <w:iCs/>
        </w:rPr>
      </w:pPr>
      <w:r>
        <w:rPr>
          <w:rFonts w:asciiTheme="minorHAnsi" w:hAnsiTheme="minorHAnsi"/>
          <w:bCs/>
          <w:sz w:val="22"/>
          <w:szCs w:val="22"/>
        </w:rPr>
        <w:t>Be ready to provide comments concerning the tabled motion (</w:t>
      </w:r>
      <w:r>
        <w:rPr>
          <w:iCs/>
        </w:rPr>
        <w:t xml:space="preserve">1718.APC.003.P) – you are welcome to withdraw the motion.  But it does seem to be an issue that some faculty are trying to wrap up early.  </w:t>
      </w:r>
    </w:p>
    <w:p w:rsidR="00913302" w:rsidRDefault="00913302" w:rsidP="00865BBB">
      <w:pPr>
        <w:rPr>
          <w:iCs/>
        </w:rPr>
      </w:pPr>
      <w:r>
        <w:rPr>
          <w:iCs/>
        </w:rPr>
        <w:t>APC was asked to consider a disruptive behavior policy in conjunction with SAPC.  Make sure any such policy considers the possibility that what appears to be disruptive behavior may be a student health issue.  So, do not over generalize.</w:t>
      </w:r>
    </w:p>
    <w:p w:rsidR="00913302" w:rsidRPr="00913302" w:rsidRDefault="00913302" w:rsidP="00865BBB">
      <w:pPr>
        <w:rPr>
          <w:rFonts w:asciiTheme="minorHAnsi" w:hAnsiTheme="minorHAnsi"/>
          <w:sz w:val="22"/>
          <w:szCs w:val="22"/>
        </w:rPr>
      </w:pPr>
      <w:r>
        <w:rPr>
          <w:iCs/>
        </w:rPr>
        <w:t>Good luck!</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D64056" w:rsidRDefault="00D64056" w:rsidP="00D64056">
      <w:pPr>
        <w:jc w:val="both"/>
        <w:rPr>
          <w:sz w:val="28"/>
          <w:szCs w:val="28"/>
        </w:rPr>
      </w:pPr>
    </w:p>
    <w:p w:rsidR="00D64056" w:rsidRPr="00E80E72" w:rsidRDefault="00D64056" w:rsidP="00D64056">
      <w:pPr>
        <w:jc w:val="both"/>
      </w:pPr>
      <w:r w:rsidRPr="00E80E72">
        <w:t>The committee elected to retain the operating procedures from the previous year:</w:t>
      </w:r>
    </w:p>
    <w:p w:rsidR="00D64056" w:rsidRPr="00E80E72" w:rsidRDefault="00D64056" w:rsidP="00D64056">
      <w:pPr>
        <w:jc w:val="both"/>
      </w:pPr>
      <w:r w:rsidRPr="00E80E72">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rsidR="00D64056" w:rsidRPr="00E80E72" w:rsidRDefault="00D64056" w:rsidP="00D64056">
      <w:pPr>
        <w:jc w:val="both"/>
      </w:pPr>
      <w:r w:rsidRPr="00E80E72">
        <w:t>We also acknowledged that US operating procedures permit for electronic discussion of items if achieving and maintaining a quorum becomes difficult.</w:t>
      </w:r>
      <w:bookmarkStart w:id="0" w:name="_GoBack"/>
      <w:bookmarkEnd w:id="0"/>
    </w:p>
    <w:sectPr w:rsidR="00D64056" w:rsidRPr="00E80E72"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36" w:rsidRDefault="00224B36" w:rsidP="005844EC">
      <w:r>
        <w:separator/>
      </w:r>
    </w:p>
  </w:endnote>
  <w:endnote w:type="continuationSeparator" w:id="0">
    <w:p w:rsidR="00224B36" w:rsidRDefault="00224B3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82" w:rsidRDefault="00B03A82" w:rsidP="005844EC">
    <w:pPr>
      <w:pStyle w:val="Footer"/>
      <w:tabs>
        <w:tab w:val="clear" w:pos="8640"/>
        <w:tab w:val="right" w:pos="9900"/>
      </w:tabs>
      <w:rPr>
        <w:rStyle w:val="PageNumber"/>
        <w:sz w:val="16"/>
        <w:szCs w:val="16"/>
        <w:highlight w:val="yellow"/>
      </w:rPr>
    </w:pPr>
  </w:p>
  <w:p w:rsidR="005844EC" w:rsidRPr="005844EC" w:rsidRDefault="009C0C9A" w:rsidP="005844EC">
    <w:pPr>
      <w:pStyle w:val="Footer"/>
      <w:tabs>
        <w:tab w:val="clear" w:pos="8640"/>
        <w:tab w:val="right" w:pos="9900"/>
      </w:tabs>
      <w:rPr>
        <w:sz w:val="16"/>
        <w:szCs w:val="16"/>
      </w:rPr>
    </w:pPr>
    <w:r>
      <w:rPr>
        <w:rStyle w:val="PageNumber"/>
        <w:sz w:val="16"/>
        <w:szCs w:val="16"/>
        <w:highlight w:val="yellow"/>
      </w:rPr>
      <w:t>(APC</w:t>
    </w:r>
    <w:r w:rsidR="005844EC" w:rsidRPr="00445DDC">
      <w:rPr>
        <w:rStyle w:val="PageNumber"/>
        <w:sz w:val="16"/>
        <w:szCs w:val="16"/>
        <w:highlight w:val="yellow"/>
      </w:rPr>
      <w:t xml:space="preserve"> Annual Report </w:t>
    </w:r>
    <w:r w:rsidR="00445DDC" w:rsidRPr="00445DDC">
      <w:rPr>
        <w:rStyle w:val="PageNumber"/>
        <w:sz w:val="16"/>
        <w:szCs w:val="16"/>
        <w:highlight w:val="yellow"/>
      </w:rPr>
      <w:t>A</w:t>
    </w:r>
    <w:r w:rsidR="000A738A">
      <w:rPr>
        <w:rStyle w:val="PageNumber"/>
        <w:sz w:val="16"/>
        <w:szCs w:val="16"/>
        <w:highlight w:val="yellow"/>
      </w:rPr>
      <w:t xml:space="preserve">cademic Year </w:t>
    </w:r>
    <w:r w:rsidR="00A55E3F">
      <w:rPr>
        <w:rStyle w:val="PageNumber"/>
        <w:sz w:val="16"/>
        <w:szCs w:val="16"/>
        <w:highlight w:val="yellow"/>
      </w:rPr>
      <w:t>2017-18</w:t>
    </w:r>
    <w:r w:rsidR="005844EC" w:rsidRPr="00445DDC">
      <w:rPr>
        <w:rStyle w:val="PageNumber"/>
        <w:sz w:val="16"/>
        <w:szCs w:val="16"/>
        <w:highlight w:val="yellow"/>
      </w:rPr>
      <w:t>)</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E80E72">
      <w:rPr>
        <w:noProof/>
        <w:sz w:val="16"/>
        <w:szCs w:val="16"/>
      </w:rPr>
      <w:t>3</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E80E72">
      <w:rPr>
        <w:noProof/>
        <w:sz w:val="16"/>
        <w:szCs w:val="16"/>
      </w:rPr>
      <w:t>3</w:t>
    </w:r>
    <w:r w:rsidR="005844EC" w:rsidRPr="005844E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36" w:rsidRDefault="00224B36" w:rsidP="005844EC">
      <w:r>
        <w:separator/>
      </w:r>
    </w:p>
  </w:footnote>
  <w:footnote w:type="continuationSeparator" w:id="0">
    <w:p w:rsidR="00224B36" w:rsidRDefault="00224B36"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3727F"/>
    <w:multiLevelType w:val="hybridMultilevel"/>
    <w:tmpl w:val="488A2B54"/>
    <w:lvl w:ilvl="0" w:tplc="5A6C4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9315C8"/>
    <w:multiLevelType w:val="hybridMultilevel"/>
    <w:tmpl w:val="8BAE01E6"/>
    <w:lvl w:ilvl="0" w:tplc="02664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2931"/>
    <w:rsid w:val="0006353D"/>
    <w:rsid w:val="00086046"/>
    <w:rsid w:val="000A738A"/>
    <w:rsid w:val="000A75BA"/>
    <w:rsid w:val="000E4EF4"/>
    <w:rsid w:val="00112766"/>
    <w:rsid w:val="00137168"/>
    <w:rsid w:val="001A1FB0"/>
    <w:rsid w:val="001D17C8"/>
    <w:rsid w:val="00224B36"/>
    <w:rsid w:val="002F4D31"/>
    <w:rsid w:val="002F5467"/>
    <w:rsid w:val="00375DBC"/>
    <w:rsid w:val="003B08B7"/>
    <w:rsid w:val="004163EB"/>
    <w:rsid w:val="00445DDC"/>
    <w:rsid w:val="00474C6D"/>
    <w:rsid w:val="004838EF"/>
    <w:rsid w:val="004B7513"/>
    <w:rsid w:val="00511EA6"/>
    <w:rsid w:val="005844EC"/>
    <w:rsid w:val="00606A78"/>
    <w:rsid w:val="006A5698"/>
    <w:rsid w:val="006B68AB"/>
    <w:rsid w:val="0071470B"/>
    <w:rsid w:val="00727463"/>
    <w:rsid w:val="00730906"/>
    <w:rsid w:val="00770199"/>
    <w:rsid w:val="007E4CE5"/>
    <w:rsid w:val="00800A29"/>
    <w:rsid w:val="00812246"/>
    <w:rsid w:val="00865BBB"/>
    <w:rsid w:val="00892390"/>
    <w:rsid w:val="00913302"/>
    <w:rsid w:val="00927C13"/>
    <w:rsid w:val="00956E55"/>
    <w:rsid w:val="00986801"/>
    <w:rsid w:val="00994005"/>
    <w:rsid w:val="009C0C9A"/>
    <w:rsid w:val="00A55E3F"/>
    <w:rsid w:val="00A6212C"/>
    <w:rsid w:val="00AB4BF5"/>
    <w:rsid w:val="00AC05E4"/>
    <w:rsid w:val="00B03A82"/>
    <w:rsid w:val="00B229F6"/>
    <w:rsid w:val="00B74BA1"/>
    <w:rsid w:val="00BB0B47"/>
    <w:rsid w:val="00BB7094"/>
    <w:rsid w:val="00C72903"/>
    <w:rsid w:val="00D455A2"/>
    <w:rsid w:val="00D64056"/>
    <w:rsid w:val="00E3676A"/>
    <w:rsid w:val="00E70A14"/>
    <w:rsid w:val="00E740E7"/>
    <w:rsid w:val="00E80E72"/>
    <w:rsid w:val="00E85F63"/>
    <w:rsid w:val="00F22337"/>
    <w:rsid w:val="00FD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uiPriority w:val="99"/>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FD3D31"/>
    <w:pPr>
      <w:spacing w:before="120"/>
      <w:ind w:left="1728" w:hanging="288"/>
    </w:pPr>
  </w:style>
  <w:style w:type="table" w:styleId="TableGrid">
    <w:name w:val="Table Grid"/>
    <w:basedOn w:val="TableNormal"/>
    <w:rsid w:val="00FD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676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9178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2018-01-30T22:29:00Z</cp:lastPrinted>
  <dcterms:created xsi:type="dcterms:W3CDTF">2018-05-12T14:25:00Z</dcterms:created>
  <dcterms:modified xsi:type="dcterms:W3CDTF">2018-05-12T14:26:00Z</dcterms:modified>
</cp:coreProperties>
</file>