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Pr="006B4473" w:rsidRDefault="006A5698" w:rsidP="002C208E">
      <w:pPr>
        <w:jc w:val="center"/>
      </w:pPr>
      <w:r w:rsidRPr="006B4473">
        <w:rPr>
          <w:b/>
          <w:bCs/>
        </w:rPr>
        <w:t xml:space="preserve">University </w:t>
      </w:r>
      <w:r w:rsidR="0071470B" w:rsidRPr="006B4473">
        <w:rPr>
          <w:b/>
          <w:bCs/>
        </w:rPr>
        <w:t>Senate Committee Annual Report</w:t>
      </w:r>
    </w:p>
    <w:p w:rsidR="002C208E" w:rsidRDefault="006A5698" w:rsidP="002C208E">
      <w:pPr>
        <w:spacing w:before="120"/>
        <w:jc w:val="center"/>
        <w:rPr>
          <w:b/>
          <w:bCs/>
        </w:rPr>
      </w:pPr>
      <w:r w:rsidRPr="006161C2">
        <w:rPr>
          <w:b/>
          <w:bCs/>
        </w:rPr>
        <w:t>Due Date:</w:t>
      </w:r>
      <w:r w:rsidR="00865BBB" w:rsidRPr="006161C2">
        <w:rPr>
          <w:b/>
          <w:bCs/>
        </w:rPr>
        <w:t xml:space="preserve"> Submit in MSWord</w:t>
      </w:r>
      <w:r w:rsidR="005844EC" w:rsidRPr="006161C2">
        <w:rPr>
          <w:b/>
          <w:bCs/>
        </w:rPr>
        <w:t xml:space="preserve"> or pdf</w:t>
      </w:r>
      <w:r w:rsidR="00865BBB" w:rsidRPr="006161C2">
        <w:rPr>
          <w:b/>
          <w:bCs/>
        </w:rPr>
        <w:t xml:space="preserve"> format to </w:t>
      </w:r>
      <w:hyperlink r:id="rId7" w:history="1">
        <w:r w:rsidR="00045F8D" w:rsidRPr="006161C2">
          <w:rPr>
            <w:rStyle w:val="Hyperlink"/>
            <w:b/>
            <w:bCs/>
          </w:rPr>
          <w:t>senate@gcsu.edu</w:t>
        </w:r>
      </w:hyperlink>
    </w:p>
    <w:p w:rsidR="00865BBB" w:rsidRPr="006B4473" w:rsidRDefault="00B74BA1" w:rsidP="002C208E">
      <w:pPr>
        <w:spacing w:before="120"/>
        <w:jc w:val="center"/>
        <w:rPr>
          <w:b/>
          <w:bCs/>
        </w:rPr>
      </w:pPr>
      <w:r w:rsidRPr="006161C2">
        <w:rPr>
          <w:b/>
          <w:bCs/>
          <w:u w:val="single"/>
        </w:rPr>
        <w:t>no later</w:t>
      </w:r>
      <w:r w:rsidR="00086046" w:rsidRPr="006161C2">
        <w:rPr>
          <w:b/>
          <w:bCs/>
          <w:u w:val="single"/>
        </w:rPr>
        <w:t xml:space="preserve"> than</w:t>
      </w:r>
      <w:r w:rsidRPr="006161C2">
        <w:rPr>
          <w:b/>
          <w:bCs/>
          <w:u w:val="single"/>
        </w:rPr>
        <w:t xml:space="preserve"> </w:t>
      </w:r>
      <w:r w:rsidR="004E18CE" w:rsidRPr="006161C2">
        <w:rPr>
          <w:b/>
          <w:bCs/>
          <w:u w:val="single"/>
        </w:rPr>
        <w:t>Wed 3 May 2017</w:t>
      </w:r>
      <w:r w:rsidR="005844EC" w:rsidRPr="006161C2">
        <w:rPr>
          <w:b/>
          <w:bCs/>
        </w:rPr>
        <w:t>.</w:t>
      </w:r>
    </w:p>
    <w:p w:rsidR="00865BBB" w:rsidRPr="006B4473" w:rsidRDefault="00865BBB" w:rsidP="002C208E">
      <w:pPr>
        <w:jc w:val="both"/>
      </w:pPr>
    </w:p>
    <w:p w:rsidR="00865BBB" w:rsidRPr="006B4473" w:rsidRDefault="006A5698" w:rsidP="002C208E">
      <w:pPr>
        <w:jc w:val="both"/>
      </w:pPr>
      <w:r w:rsidRPr="006B4473">
        <w:rPr>
          <w:i/>
          <w:iCs/>
        </w:rPr>
        <w:t>Note:</w:t>
      </w:r>
      <w:r w:rsidR="002C208E">
        <w:rPr>
          <w:i/>
          <w:iCs/>
        </w:rPr>
        <w:t xml:space="preserve"> </w:t>
      </w:r>
      <w:r w:rsidR="00865BBB" w:rsidRPr="006B4473">
        <w:rPr>
          <w:i/>
          <w:iCs/>
        </w:rPr>
        <w:t>This report should represent consensus of the entire committee and serve as a historical record of committee deliberations over the academic year.</w:t>
      </w:r>
    </w:p>
    <w:p w:rsidR="002C208E" w:rsidRDefault="002C208E" w:rsidP="002C208E">
      <w:pPr>
        <w:jc w:val="both"/>
        <w:rPr>
          <w:b/>
          <w:bCs/>
        </w:rPr>
      </w:pPr>
    </w:p>
    <w:p w:rsidR="00865BBB" w:rsidRPr="006B4473" w:rsidRDefault="00865BBB" w:rsidP="002C208E">
      <w:pPr>
        <w:jc w:val="both"/>
      </w:pPr>
      <w:r w:rsidRPr="006B4473">
        <w:rPr>
          <w:b/>
          <w:bCs/>
        </w:rPr>
        <w:t>Committee Name:</w:t>
      </w:r>
      <w:r w:rsidR="006B4473" w:rsidRPr="006B4473">
        <w:rPr>
          <w:b/>
          <w:bCs/>
        </w:rPr>
        <w:t xml:space="preserve"> </w:t>
      </w:r>
      <w:r w:rsidR="006B4473" w:rsidRPr="006B4473">
        <w:rPr>
          <w:bCs/>
        </w:rPr>
        <w:t>Faculty Affairs Policy Committee</w:t>
      </w:r>
    </w:p>
    <w:p w:rsidR="002C208E" w:rsidRDefault="002C208E" w:rsidP="002C208E">
      <w:pPr>
        <w:jc w:val="both"/>
        <w:rPr>
          <w:b/>
          <w:bCs/>
        </w:rPr>
      </w:pPr>
    </w:p>
    <w:p w:rsidR="00865BBB" w:rsidRPr="006B4473" w:rsidRDefault="00865BBB" w:rsidP="002C208E">
      <w:pPr>
        <w:jc w:val="both"/>
      </w:pPr>
      <w:r w:rsidRPr="006B4473">
        <w:rPr>
          <w:b/>
          <w:bCs/>
        </w:rPr>
        <w:t>Academic Year:</w:t>
      </w:r>
      <w:r w:rsidR="006B4473" w:rsidRPr="006B4473">
        <w:rPr>
          <w:b/>
          <w:bCs/>
        </w:rPr>
        <w:t xml:space="preserve"> </w:t>
      </w:r>
      <w:r w:rsidR="006B4473" w:rsidRPr="006B4473">
        <w:rPr>
          <w:bCs/>
        </w:rPr>
        <w:t>2016-2017</w:t>
      </w:r>
    </w:p>
    <w:p w:rsidR="002C208E" w:rsidRDefault="002C208E" w:rsidP="002C208E">
      <w:pPr>
        <w:jc w:val="both"/>
        <w:rPr>
          <w:b/>
          <w:bCs/>
        </w:rPr>
      </w:pPr>
    </w:p>
    <w:p w:rsidR="002C208E" w:rsidRDefault="00865BBB" w:rsidP="002C208E">
      <w:pPr>
        <w:jc w:val="both"/>
      </w:pPr>
      <w:r w:rsidRPr="006B4473">
        <w:rPr>
          <w:b/>
          <w:bCs/>
        </w:rPr>
        <w:t>Committee Charge:</w:t>
      </w:r>
      <w:r w:rsidR="006B4473" w:rsidRPr="006B4473">
        <w:t xml:space="preserve"> </w:t>
      </w:r>
    </w:p>
    <w:p w:rsidR="006B4473" w:rsidRPr="006B4473" w:rsidRDefault="006B4473" w:rsidP="002C208E">
      <w:pPr>
        <w:jc w:val="both"/>
      </w:pPr>
      <w:r w:rsidRPr="002C208E">
        <w:rPr>
          <w:i/>
        </w:rPr>
        <w:t>V.Section2.C.3.b.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p>
    <w:p w:rsidR="002C208E" w:rsidRDefault="002C208E" w:rsidP="002C208E">
      <w:pPr>
        <w:jc w:val="both"/>
        <w:rPr>
          <w:b/>
          <w:bCs/>
        </w:rPr>
      </w:pPr>
    </w:p>
    <w:p w:rsidR="00865BBB" w:rsidRPr="006B4473" w:rsidRDefault="00865BBB" w:rsidP="002C208E">
      <w:pPr>
        <w:jc w:val="both"/>
        <w:rPr>
          <w:iCs/>
        </w:rPr>
      </w:pPr>
      <w:r w:rsidRPr="006B4473">
        <w:rPr>
          <w:b/>
          <w:bCs/>
        </w:rPr>
        <w:t>Committee Calendar:</w:t>
      </w:r>
      <w:r w:rsidR="006B4473">
        <w:rPr>
          <w:b/>
          <w:bCs/>
        </w:rPr>
        <w:t xml:space="preserve"> </w:t>
      </w:r>
      <w:r w:rsidR="006B4473" w:rsidRPr="006B4473">
        <w:rPr>
          <w:iCs/>
        </w:rPr>
        <w:t>The Committee met on 29 April 2016 (organizational meeting),</w:t>
      </w:r>
      <w:r w:rsidR="00A74FF4">
        <w:rPr>
          <w:iCs/>
        </w:rPr>
        <w:t xml:space="preserve"> 9</w:t>
      </w:r>
      <w:r w:rsidR="006B4473">
        <w:rPr>
          <w:iCs/>
        </w:rPr>
        <w:t xml:space="preserve"> August 2016 (Senate Retreat),</w:t>
      </w:r>
      <w:r w:rsidR="006B4473" w:rsidRPr="006B4473">
        <w:rPr>
          <w:iCs/>
        </w:rPr>
        <w:t xml:space="preserve"> 7 October 2016, 4 November 2016, 2 December 2016, 3 February 2017, 3 March 2017, and 31 March 2017.</w:t>
      </w:r>
    </w:p>
    <w:p w:rsidR="002C208E" w:rsidRDefault="002C208E" w:rsidP="002C208E">
      <w:pPr>
        <w:jc w:val="both"/>
        <w:rPr>
          <w:b/>
          <w:bCs/>
        </w:rPr>
      </w:pPr>
    </w:p>
    <w:p w:rsidR="002D3339" w:rsidRPr="006B4473" w:rsidRDefault="00865BBB" w:rsidP="002C208E">
      <w:pPr>
        <w:jc w:val="both"/>
      </w:pPr>
      <w:r w:rsidRPr="006B4473">
        <w:rPr>
          <w:b/>
          <w:bCs/>
        </w:rPr>
        <w:t>Executive Summary</w:t>
      </w:r>
      <w:r w:rsidRPr="006B4473">
        <w:t>:</w:t>
      </w:r>
      <w:r w:rsidR="002C208E">
        <w:t xml:space="preserve"> </w:t>
      </w:r>
      <w:r w:rsidR="005818FD">
        <w:t>After concluding discussions on matters begun in 2015-2016 such as how the university uses international faculty Credentialing Services and questions about the Provost’s Memo to Deans, Directors, and Chairs in February 2016, m</w:t>
      </w:r>
      <w:r w:rsidR="002D3339">
        <w:t xml:space="preserve">uch of the Committee’s time was spent </w:t>
      </w:r>
      <w:r w:rsidR="005818FD">
        <w:t>researching and debating</w:t>
      </w:r>
      <w:r w:rsidR="002D3339">
        <w:t xml:space="preserve"> Student Opinion Surveys and Peer Teaching Evaluation, issues which carried over from 2015-2016 and which will carry over to 2017-2018.</w:t>
      </w:r>
      <w:r w:rsidR="002C208E">
        <w:t xml:space="preserve"> </w:t>
      </w:r>
      <w:r w:rsidR="00A25DCD">
        <w:t>Dissatisfied with the long and convoluted Student Rating of Instruction Survey, t</w:t>
      </w:r>
      <w:r w:rsidR="002D3339">
        <w:t>he Comm</w:t>
      </w:r>
      <w:r w:rsidR="00A25DCD">
        <w:t xml:space="preserve">ittee </w:t>
      </w:r>
      <w:r w:rsidR="005818FD">
        <w:t>requested a change to the shorter form and expressed interest in looking at other instruments before tasking a Work Group that proposed switching to an in-hous</w:t>
      </w:r>
      <w:r w:rsidR="00EB390D">
        <w:t>e Student Satisfaction Survey; how</w:t>
      </w:r>
      <w:r w:rsidR="0059164C">
        <w:t xml:space="preserve">ever, questions arose regarding </w:t>
      </w:r>
      <w:r w:rsidR="00EB390D">
        <w:t>returning to an in-house model.</w:t>
      </w:r>
      <w:r w:rsidR="002C208E">
        <w:t xml:space="preserve"> </w:t>
      </w:r>
      <w:r w:rsidR="00EB390D">
        <w:t xml:space="preserve">In terms of Peer Teaching Evaluation, after conducting research and hearing from the Interim Director of the Center for Teaching and Learning, </w:t>
      </w:r>
      <w:r w:rsidR="005818FD">
        <w:t>the Committee thought a two-person</w:t>
      </w:r>
      <w:r w:rsidR="00EB390D">
        <w:t xml:space="preserve"> team of a department member and a trained evaluator from outside the department would be a good model.</w:t>
      </w:r>
      <w:r w:rsidR="002C208E">
        <w:t xml:space="preserve"> </w:t>
      </w:r>
      <w:r w:rsidR="00EB390D">
        <w:t xml:space="preserve">The Peer Teaching </w:t>
      </w:r>
      <w:r w:rsidR="005818FD">
        <w:t>Evaluation</w:t>
      </w:r>
      <w:r w:rsidR="00EB390D">
        <w:t xml:space="preserve"> recommended a pilot program for new teachers in which two evaluators from each college were trained in the fall and evaluations were performed in the spring; however, the Committee could not reach consensus on who should conduct the peer evaluations and who should be evaluated.</w:t>
      </w:r>
      <w:r w:rsidR="002C208E">
        <w:t xml:space="preserve"> </w:t>
      </w:r>
      <w:r w:rsidR="0060072F">
        <w:t>The Committee also worked on issues of faculty evaluation and promotion and tenure.</w:t>
      </w:r>
      <w:r w:rsidR="002C208E">
        <w:t xml:space="preserve"> </w:t>
      </w:r>
      <w:r w:rsidR="0060072F">
        <w:t xml:space="preserve">It recommended changing the Individual Faculty Report deadline, reminded administrators that policy mandates that faculty receive copies of recommendations for and against tenure, and recommended changing the policy that </w:t>
      </w:r>
      <w:r w:rsidR="0032328E">
        <w:t>faculty could only respond to recommendations against tenure (because of an irregularity with a sabotaging recommendation letter from a chair).</w:t>
      </w:r>
      <w:r w:rsidR="002C208E">
        <w:t xml:space="preserve"> </w:t>
      </w:r>
      <w:r w:rsidR="0032328E">
        <w:t>Finally, the Committee deliberated on the Provost’s ideas regarding streamlining the timetable of Five-Year Review of Academic Administrators and using an external review servi</w:t>
      </w:r>
      <w:r w:rsidR="00BF30FA">
        <w:t>ce; finding both valuable but desiring to keep faculty on Review Teams.</w:t>
      </w:r>
    </w:p>
    <w:p w:rsidR="00865BBB" w:rsidRPr="006B4473" w:rsidRDefault="00865BBB" w:rsidP="002C208E">
      <w:pPr>
        <w:jc w:val="both"/>
      </w:pPr>
    </w:p>
    <w:p w:rsidR="002C208E" w:rsidRDefault="002C208E" w:rsidP="002C208E">
      <w:pPr>
        <w:jc w:val="both"/>
        <w:rPr>
          <w:b/>
          <w:bCs/>
        </w:rPr>
      </w:pPr>
      <w:r>
        <w:rPr>
          <w:b/>
          <w:bCs/>
        </w:rPr>
        <w:br w:type="page"/>
      </w:r>
    </w:p>
    <w:p w:rsidR="00FE48AD" w:rsidRDefault="00865BBB" w:rsidP="002C208E">
      <w:pPr>
        <w:jc w:val="both"/>
        <w:rPr>
          <w:b/>
          <w:bCs/>
        </w:rPr>
      </w:pPr>
      <w:r w:rsidRPr="006B4473">
        <w:rPr>
          <w:b/>
          <w:bCs/>
        </w:rPr>
        <w:lastRenderedPageBreak/>
        <w:t>Committee Membership</w:t>
      </w:r>
      <w:r w:rsidRPr="006B4473">
        <w:t xml:space="preserve"> </w:t>
      </w:r>
      <w:r w:rsidRPr="006B4473">
        <w:rPr>
          <w:b/>
          <w:bCs/>
        </w:rPr>
        <w:t>and Record of Attendance:</w:t>
      </w:r>
    </w:p>
    <w:p w:rsidR="005B646E" w:rsidRDefault="005B646E" w:rsidP="002C208E">
      <w:pPr>
        <w:jc w:val="both"/>
        <w:rPr>
          <w:bCs/>
        </w:rPr>
      </w:pPr>
      <w:r>
        <w:rPr>
          <w:bCs/>
        </w:rPr>
        <w:t xml:space="preserve">P = Present, R = Regrets, NA = Not </w:t>
      </w:r>
      <w:r w:rsidR="003F0F9F">
        <w:rPr>
          <w:bCs/>
        </w:rPr>
        <w:t>Applicable (not on the committee at this time)</w:t>
      </w:r>
    </w:p>
    <w:p w:rsidR="003F0F9F" w:rsidRPr="005B646E" w:rsidRDefault="003F0F9F" w:rsidP="002C208E">
      <w:pPr>
        <w:jc w:val="both"/>
      </w:pPr>
    </w:p>
    <w:tbl>
      <w:tblPr>
        <w:tblStyle w:val="TableGrid"/>
        <w:tblW w:w="0" w:type="auto"/>
        <w:tblLook w:val="04A0" w:firstRow="1" w:lastRow="0" w:firstColumn="1" w:lastColumn="0" w:noHBand="0" w:noVBand="1"/>
      </w:tblPr>
      <w:tblGrid>
        <w:gridCol w:w="4663"/>
        <w:gridCol w:w="643"/>
        <w:gridCol w:w="629"/>
        <w:gridCol w:w="715"/>
        <w:gridCol w:w="643"/>
        <w:gridCol w:w="718"/>
        <w:gridCol w:w="627"/>
        <w:gridCol w:w="627"/>
        <w:gridCol w:w="661"/>
      </w:tblGrid>
      <w:tr w:rsidR="00FE48AD" w:rsidTr="00AB55E0">
        <w:tc>
          <w:tcPr>
            <w:tcW w:w="4663" w:type="dxa"/>
          </w:tcPr>
          <w:p w:rsidR="00FE48AD" w:rsidRPr="003F0F9F" w:rsidRDefault="00FE48AD" w:rsidP="002C208E">
            <w:pPr>
              <w:jc w:val="both"/>
              <w:rPr>
                <w:b/>
                <w:bCs/>
              </w:rPr>
            </w:pPr>
            <w:r w:rsidRPr="003F0F9F">
              <w:rPr>
                <w:b/>
                <w:bCs/>
              </w:rPr>
              <w:t>Members</w:t>
            </w:r>
          </w:p>
        </w:tc>
        <w:tc>
          <w:tcPr>
            <w:tcW w:w="643" w:type="dxa"/>
          </w:tcPr>
          <w:p w:rsidR="00FE48AD" w:rsidRPr="003F0F9F" w:rsidRDefault="00FE48AD" w:rsidP="002C208E">
            <w:pPr>
              <w:jc w:val="both"/>
              <w:rPr>
                <w:b/>
                <w:bCs/>
              </w:rPr>
            </w:pPr>
            <w:r w:rsidRPr="003F0F9F">
              <w:rPr>
                <w:b/>
                <w:bCs/>
              </w:rPr>
              <w:t>4/29</w:t>
            </w:r>
          </w:p>
        </w:tc>
        <w:tc>
          <w:tcPr>
            <w:tcW w:w="629" w:type="dxa"/>
            <w:shd w:val="clear" w:color="auto" w:fill="auto"/>
          </w:tcPr>
          <w:p w:rsidR="00FE48AD" w:rsidRPr="00801C10" w:rsidRDefault="00FE48AD" w:rsidP="002C208E">
            <w:pPr>
              <w:jc w:val="both"/>
              <w:rPr>
                <w:b/>
                <w:bCs/>
              </w:rPr>
            </w:pPr>
            <w:r w:rsidRPr="00801C10">
              <w:rPr>
                <w:b/>
                <w:bCs/>
              </w:rPr>
              <w:t>8/9</w:t>
            </w:r>
          </w:p>
        </w:tc>
        <w:tc>
          <w:tcPr>
            <w:tcW w:w="715" w:type="dxa"/>
          </w:tcPr>
          <w:p w:rsidR="00FE48AD" w:rsidRPr="003F0F9F" w:rsidRDefault="00FE48AD" w:rsidP="002C208E">
            <w:pPr>
              <w:jc w:val="both"/>
              <w:rPr>
                <w:b/>
                <w:bCs/>
              </w:rPr>
            </w:pPr>
            <w:r w:rsidRPr="003F0F9F">
              <w:rPr>
                <w:b/>
                <w:bCs/>
              </w:rPr>
              <w:t>10/7</w:t>
            </w:r>
          </w:p>
        </w:tc>
        <w:tc>
          <w:tcPr>
            <w:tcW w:w="643" w:type="dxa"/>
          </w:tcPr>
          <w:p w:rsidR="00FE48AD" w:rsidRPr="003F0F9F" w:rsidRDefault="00FE48AD" w:rsidP="002C208E">
            <w:pPr>
              <w:jc w:val="both"/>
              <w:rPr>
                <w:b/>
                <w:bCs/>
              </w:rPr>
            </w:pPr>
            <w:r w:rsidRPr="003F0F9F">
              <w:rPr>
                <w:b/>
                <w:bCs/>
              </w:rPr>
              <w:t>11/4</w:t>
            </w:r>
          </w:p>
        </w:tc>
        <w:tc>
          <w:tcPr>
            <w:tcW w:w="718" w:type="dxa"/>
          </w:tcPr>
          <w:p w:rsidR="00FE48AD" w:rsidRPr="003F0F9F" w:rsidRDefault="00FE48AD" w:rsidP="002C208E">
            <w:pPr>
              <w:jc w:val="both"/>
              <w:rPr>
                <w:b/>
                <w:bCs/>
              </w:rPr>
            </w:pPr>
            <w:r w:rsidRPr="003F0F9F">
              <w:rPr>
                <w:b/>
                <w:bCs/>
              </w:rPr>
              <w:t>12/2</w:t>
            </w:r>
          </w:p>
        </w:tc>
        <w:tc>
          <w:tcPr>
            <w:tcW w:w="627" w:type="dxa"/>
          </w:tcPr>
          <w:p w:rsidR="00FE48AD" w:rsidRPr="003F0F9F" w:rsidRDefault="00FE48AD" w:rsidP="002C208E">
            <w:pPr>
              <w:jc w:val="both"/>
              <w:rPr>
                <w:b/>
                <w:bCs/>
              </w:rPr>
            </w:pPr>
            <w:r w:rsidRPr="003F0F9F">
              <w:rPr>
                <w:b/>
                <w:bCs/>
              </w:rPr>
              <w:t>2/3</w:t>
            </w:r>
          </w:p>
        </w:tc>
        <w:tc>
          <w:tcPr>
            <w:tcW w:w="627" w:type="dxa"/>
          </w:tcPr>
          <w:p w:rsidR="00FE48AD" w:rsidRPr="003F0F9F" w:rsidRDefault="00FE48AD" w:rsidP="002C208E">
            <w:pPr>
              <w:jc w:val="both"/>
              <w:rPr>
                <w:b/>
                <w:bCs/>
              </w:rPr>
            </w:pPr>
            <w:r w:rsidRPr="003F0F9F">
              <w:rPr>
                <w:b/>
                <w:bCs/>
              </w:rPr>
              <w:t>3/3</w:t>
            </w:r>
          </w:p>
        </w:tc>
        <w:tc>
          <w:tcPr>
            <w:tcW w:w="661" w:type="dxa"/>
          </w:tcPr>
          <w:p w:rsidR="00FE48AD" w:rsidRPr="003F0F9F" w:rsidRDefault="00FE48AD" w:rsidP="002C208E">
            <w:pPr>
              <w:jc w:val="both"/>
              <w:rPr>
                <w:b/>
                <w:bCs/>
              </w:rPr>
            </w:pPr>
            <w:r w:rsidRPr="003F0F9F">
              <w:rPr>
                <w:b/>
                <w:bCs/>
              </w:rPr>
              <w:t>3/31</w:t>
            </w:r>
          </w:p>
        </w:tc>
      </w:tr>
      <w:tr w:rsidR="00FE48AD" w:rsidTr="00F6507D">
        <w:tc>
          <w:tcPr>
            <w:tcW w:w="4663" w:type="dxa"/>
          </w:tcPr>
          <w:p w:rsidR="00FE48AD" w:rsidRDefault="00FE48AD" w:rsidP="002C208E">
            <w:pPr>
              <w:jc w:val="both"/>
              <w:rPr>
                <w:bCs/>
              </w:rPr>
            </w:pPr>
            <w:r>
              <w:rPr>
                <w:bCs/>
              </w:rPr>
              <w:t>Alex Blazer</w:t>
            </w:r>
            <w:r w:rsidR="009620BE">
              <w:rPr>
                <w:bCs/>
              </w:rPr>
              <w:t>, Senator, Chair</w:t>
            </w:r>
          </w:p>
        </w:tc>
        <w:tc>
          <w:tcPr>
            <w:tcW w:w="643" w:type="dxa"/>
          </w:tcPr>
          <w:p w:rsidR="00FE48AD" w:rsidRDefault="00F6507D" w:rsidP="002C208E">
            <w:pPr>
              <w:jc w:val="both"/>
              <w:rPr>
                <w:bCs/>
              </w:rPr>
            </w:pPr>
            <w:r>
              <w:rPr>
                <w:bCs/>
              </w:rPr>
              <w:t>P</w:t>
            </w:r>
          </w:p>
        </w:tc>
        <w:tc>
          <w:tcPr>
            <w:tcW w:w="629" w:type="dxa"/>
          </w:tcPr>
          <w:p w:rsidR="00FE48AD" w:rsidRPr="00801C10" w:rsidRDefault="00AC63CE" w:rsidP="002C208E">
            <w:pPr>
              <w:jc w:val="both"/>
              <w:rPr>
                <w:bCs/>
              </w:rPr>
            </w:pPr>
            <w:r w:rsidRPr="00801C10">
              <w:rPr>
                <w:bCs/>
              </w:rPr>
              <w:t>P</w:t>
            </w:r>
          </w:p>
        </w:tc>
        <w:tc>
          <w:tcPr>
            <w:tcW w:w="715" w:type="dxa"/>
          </w:tcPr>
          <w:p w:rsidR="00FE48AD" w:rsidRDefault="00AC63CE" w:rsidP="002C208E">
            <w:pPr>
              <w:jc w:val="both"/>
              <w:rPr>
                <w:bCs/>
              </w:rPr>
            </w:pPr>
            <w:r>
              <w:rPr>
                <w:bCs/>
              </w:rPr>
              <w:t>P</w:t>
            </w:r>
          </w:p>
        </w:tc>
        <w:tc>
          <w:tcPr>
            <w:tcW w:w="643" w:type="dxa"/>
          </w:tcPr>
          <w:p w:rsidR="00FE48AD" w:rsidRDefault="00AC63CE" w:rsidP="002C208E">
            <w:pPr>
              <w:jc w:val="both"/>
              <w:rPr>
                <w:bCs/>
              </w:rPr>
            </w:pPr>
            <w:r>
              <w:rPr>
                <w:bCs/>
              </w:rPr>
              <w:t>R</w:t>
            </w:r>
          </w:p>
        </w:tc>
        <w:tc>
          <w:tcPr>
            <w:tcW w:w="718" w:type="dxa"/>
          </w:tcPr>
          <w:p w:rsidR="00FE48AD" w:rsidRDefault="00C14096" w:rsidP="002C208E">
            <w:pPr>
              <w:jc w:val="both"/>
              <w:rPr>
                <w:bCs/>
              </w:rPr>
            </w:pPr>
            <w:r>
              <w:rPr>
                <w:bCs/>
              </w:rPr>
              <w:t>P</w:t>
            </w:r>
          </w:p>
        </w:tc>
        <w:tc>
          <w:tcPr>
            <w:tcW w:w="627" w:type="dxa"/>
          </w:tcPr>
          <w:p w:rsidR="00FE48AD" w:rsidRDefault="00C14096" w:rsidP="002C208E">
            <w:pPr>
              <w:jc w:val="both"/>
              <w:rPr>
                <w:bCs/>
              </w:rPr>
            </w:pPr>
            <w:r>
              <w:rPr>
                <w:bCs/>
              </w:rPr>
              <w:t>P</w:t>
            </w:r>
          </w:p>
        </w:tc>
        <w:tc>
          <w:tcPr>
            <w:tcW w:w="627" w:type="dxa"/>
          </w:tcPr>
          <w:p w:rsidR="00FE48AD" w:rsidRDefault="001C7CC3" w:rsidP="002C208E">
            <w:pPr>
              <w:jc w:val="both"/>
              <w:rPr>
                <w:bCs/>
              </w:rPr>
            </w:pPr>
            <w:r>
              <w:rPr>
                <w:bCs/>
              </w:rPr>
              <w:t>P</w:t>
            </w:r>
          </w:p>
        </w:tc>
        <w:tc>
          <w:tcPr>
            <w:tcW w:w="661" w:type="dxa"/>
          </w:tcPr>
          <w:p w:rsidR="00FE48AD" w:rsidRDefault="006524AB" w:rsidP="002C208E">
            <w:pPr>
              <w:jc w:val="both"/>
              <w:rPr>
                <w:bCs/>
              </w:rPr>
            </w:pPr>
            <w:r>
              <w:rPr>
                <w:bCs/>
              </w:rPr>
              <w:t>P</w:t>
            </w:r>
          </w:p>
        </w:tc>
      </w:tr>
      <w:tr w:rsidR="00FE48AD" w:rsidTr="00F6507D">
        <w:tc>
          <w:tcPr>
            <w:tcW w:w="4663" w:type="dxa"/>
          </w:tcPr>
          <w:p w:rsidR="00FE48AD" w:rsidRDefault="00FE48AD" w:rsidP="002C208E">
            <w:pPr>
              <w:jc w:val="both"/>
              <w:rPr>
                <w:bCs/>
              </w:rPr>
            </w:pPr>
            <w:r>
              <w:rPr>
                <w:bCs/>
              </w:rPr>
              <w:t>Robert Blumenthal</w:t>
            </w:r>
            <w:r w:rsidR="009620BE">
              <w:rPr>
                <w:bCs/>
              </w:rPr>
              <w:t>, Presidential Appointee</w:t>
            </w:r>
          </w:p>
        </w:tc>
        <w:tc>
          <w:tcPr>
            <w:tcW w:w="643" w:type="dxa"/>
          </w:tcPr>
          <w:p w:rsidR="00FE48AD" w:rsidRDefault="00F6507D" w:rsidP="002C208E">
            <w:pPr>
              <w:jc w:val="both"/>
              <w:rPr>
                <w:bCs/>
              </w:rPr>
            </w:pPr>
            <w:r>
              <w:rPr>
                <w:bCs/>
              </w:rPr>
              <w:t>P</w:t>
            </w:r>
          </w:p>
        </w:tc>
        <w:tc>
          <w:tcPr>
            <w:tcW w:w="629" w:type="dxa"/>
          </w:tcPr>
          <w:p w:rsidR="00FE48AD" w:rsidRPr="00801C10" w:rsidRDefault="00810BDF" w:rsidP="002C208E">
            <w:pPr>
              <w:jc w:val="both"/>
              <w:rPr>
                <w:bCs/>
              </w:rPr>
            </w:pPr>
            <w:r w:rsidRPr="00801C10">
              <w:rPr>
                <w:bCs/>
              </w:rPr>
              <w:t>P</w:t>
            </w:r>
          </w:p>
        </w:tc>
        <w:tc>
          <w:tcPr>
            <w:tcW w:w="715" w:type="dxa"/>
          </w:tcPr>
          <w:p w:rsidR="00FE48AD" w:rsidRDefault="00AC63CE" w:rsidP="002C208E">
            <w:pPr>
              <w:jc w:val="both"/>
              <w:rPr>
                <w:bCs/>
              </w:rPr>
            </w:pPr>
            <w:r>
              <w:rPr>
                <w:bCs/>
              </w:rPr>
              <w:t>P</w:t>
            </w:r>
          </w:p>
        </w:tc>
        <w:tc>
          <w:tcPr>
            <w:tcW w:w="643" w:type="dxa"/>
          </w:tcPr>
          <w:p w:rsidR="00FE48AD" w:rsidRDefault="00AC63CE" w:rsidP="002C208E">
            <w:pPr>
              <w:jc w:val="both"/>
              <w:rPr>
                <w:bCs/>
              </w:rPr>
            </w:pPr>
            <w:r>
              <w:rPr>
                <w:bCs/>
              </w:rPr>
              <w:t>P</w:t>
            </w:r>
          </w:p>
        </w:tc>
        <w:tc>
          <w:tcPr>
            <w:tcW w:w="718" w:type="dxa"/>
          </w:tcPr>
          <w:p w:rsidR="00FE48AD" w:rsidRDefault="00C14096" w:rsidP="002C208E">
            <w:pPr>
              <w:jc w:val="both"/>
              <w:rPr>
                <w:bCs/>
              </w:rPr>
            </w:pPr>
            <w:r>
              <w:rPr>
                <w:bCs/>
              </w:rPr>
              <w:t>P</w:t>
            </w:r>
          </w:p>
        </w:tc>
        <w:tc>
          <w:tcPr>
            <w:tcW w:w="627" w:type="dxa"/>
          </w:tcPr>
          <w:p w:rsidR="00FE48AD" w:rsidRDefault="00C14096" w:rsidP="002C208E">
            <w:pPr>
              <w:jc w:val="both"/>
              <w:rPr>
                <w:bCs/>
              </w:rPr>
            </w:pPr>
            <w:r>
              <w:rPr>
                <w:bCs/>
              </w:rPr>
              <w:t>P</w:t>
            </w:r>
          </w:p>
        </w:tc>
        <w:tc>
          <w:tcPr>
            <w:tcW w:w="627" w:type="dxa"/>
          </w:tcPr>
          <w:p w:rsidR="00FE48AD" w:rsidRDefault="001C7CC3" w:rsidP="002C208E">
            <w:pPr>
              <w:jc w:val="both"/>
              <w:rPr>
                <w:bCs/>
              </w:rPr>
            </w:pPr>
            <w:r>
              <w:rPr>
                <w:bCs/>
              </w:rPr>
              <w:t>R</w:t>
            </w:r>
          </w:p>
        </w:tc>
        <w:tc>
          <w:tcPr>
            <w:tcW w:w="661" w:type="dxa"/>
          </w:tcPr>
          <w:p w:rsidR="00FE48AD" w:rsidRDefault="006524AB" w:rsidP="002C208E">
            <w:pPr>
              <w:jc w:val="both"/>
              <w:rPr>
                <w:bCs/>
              </w:rPr>
            </w:pPr>
            <w:r>
              <w:rPr>
                <w:bCs/>
              </w:rPr>
              <w:t>P</w:t>
            </w:r>
          </w:p>
        </w:tc>
      </w:tr>
      <w:tr w:rsidR="00FE48AD" w:rsidTr="00F6507D">
        <w:tc>
          <w:tcPr>
            <w:tcW w:w="4663" w:type="dxa"/>
          </w:tcPr>
          <w:p w:rsidR="00FE48AD" w:rsidRDefault="00FE48AD" w:rsidP="002C208E">
            <w:pPr>
              <w:jc w:val="both"/>
              <w:rPr>
                <w:bCs/>
              </w:rPr>
            </w:pPr>
            <w:r>
              <w:rPr>
                <w:bCs/>
              </w:rPr>
              <w:t>Louis Bourn</w:t>
            </w:r>
            <w:r w:rsidR="009620BE">
              <w:rPr>
                <w:bCs/>
              </w:rPr>
              <w:t>e, Senator</w:t>
            </w:r>
          </w:p>
        </w:tc>
        <w:tc>
          <w:tcPr>
            <w:tcW w:w="643" w:type="dxa"/>
          </w:tcPr>
          <w:p w:rsidR="00FE48AD" w:rsidRDefault="00F6507D" w:rsidP="002C208E">
            <w:pPr>
              <w:jc w:val="both"/>
              <w:rPr>
                <w:bCs/>
              </w:rPr>
            </w:pPr>
            <w:r>
              <w:rPr>
                <w:bCs/>
              </w:rPr>
              <w:t>P</w:t>
            </w:r>
          </w:p>
        </w:tc>
        <w:tc>
          <w:tcPr>
            <w:tcW w:w="629" w:type="dxa"/>
          </w:tcPr>
          <w:p w:rsidR="00FE48AD" w:rsidRPr="00801C10" w:rsidRDefault="00801C10" w:rsidP="002C208E">
            <w:pPr>
              <w:jc w:val="both"/>
              <w:rPr>
                <w:bCs/>
              </w:rPr>
            </w:pPr>
            <w:r w:rsidRPr="00801C10">
              <w:rPr>
                <w:bCs/>
              </w:rPr>
              <w:t>P</w:t>
            </w:r>
          </w:p>
        </w:tc>
        <w:tc>
          <w:tcPr>
            <w:tcW w:w="715" w:type="dxa"/>
          </w:tcPr>
          <w:p w:rsidR="00FE48AD" w:rsidRDefault="00AC63CE" w:rsidP="002C208E">
            <w:pPr>
              <w:jc w:val="both"/>
              <w:rPr>
                <w:bCs/>
              </w:rPr>
            </w:pPr>
            <w:r>
              <w:rPr>
                <w:bCs/>
              </w:rPr>
              <w:t>P</w:t>
            </w:r>
          </w:p>
        </w:tc>
        <w:tc>
          <w:tcPr>
            <w:tcW w:w="643" w:type="dxa"/>
          </w:tcPr>
          <w:p w:rsidR="00FE48AD" w:rsidRDefault="00AC63CE" w:rsidP="002C208E">
            <w:pPr>
              <w:jc w:val="both"/>
              <w:rPr>
                <w:bCs/>
              </w:rPr>
            </w:pPr>
            <w:r>
              <w:rPr>
                <w:bCs/>
              </w:rPr>
              <w:t>R</w:t>
            </w:r>
          </w:p>
        </w:tc>
        <w:tc>
          <w:tcPr>
            <w:tcW w:w="718" w:type="dxa"/>
          </w:tcPr>
          <w:p w:rsidR="00FE48AD" w:rsidRDefault="00C14096" w:rsidP="002C208E">
            <w:pPr>
              <w:jc w:val="both"/>
              <w:rPr>
                <w:bCs/>
              </w:rPr>
            </w:pPr>
            <w:r>
              <w:rPr>
                <w:bCs/>
              </w:rPr>
              <w:t>P</w:t>
            </w:r>
          </w:p>
        </w:tc>
        <w:tc>
          <w:tcPr>
            <w:tcW w:w="627" w:type="dxa"/>
          </w:tcPr>
          <w:p w:rsidR="00FE48AD" w:rsidRDefault="00C14096" w:rsidP="002C208E">
            <w:pPr>
              <w:jc w:val="both"/>
              <w:rPr>
                <w:bCs/>
              </w:rPr>
            </w:pPr>
            <w:r>
              <w:rPr>
                <w:bCs/>
              </w:rPr>
              <w:t>P</w:t>
            </w:r>
          </w:p>
        </w:tc>
        <w:tc>
          <w:tcPr>
            <w:tcW w:w="627" w:type="dxa"/>
          </w:tcPr>
          <w:p w:rsidR="00FE48AD" w:rsidRDefault="001C7CC3" w:rsidP="002C208E">
            <w:pPr>
              <w:jc w:val="both"/>
              <w:rPr>
                <w:bCs/>
              </w:rPr>
            </w:pPr>
            <w:r>
              <w:rPr>
                <w:bCs/>
              </w:rPr>
              <w:t>P</w:t>
            </w:r>
          </w:p>
        </w:tc>
        <w:tc>
          <w:tcPr>
            <w:tcW w:w="661" w:type="dxa"/>
          </w:tcPr>
          <w:p w:rsidR="00FE48AD" w:rsidRDefault="006524AB" w:rsidP="002C208E">
            <w:pPr>
              <w:jc w:val="both"/>
              <w:rPr>
                <w:bCs/>
              </w:rPr>
            </w:pPr>
            <w:r>
              <w:rPr>
                <w:bCs/>
              </w:rPr>
              <w:t>P</w:t>
            </w:r>
          </w:p>
        </w:tc>
      </w:tr>
      <w:tr w:rsidR="00AC63CE" w:rsidTr="00F6507D">
        <w:tc>
          <w:tcPr>
            <w:tcW w:w="4663" w:type="dxa"/>
          </w:tcPr>
          <w:p w:rsidR="00FE48AD" w:rsidRDefault="00FE48AD" w:rsidP="002C208E">
            <w:pPr>
              <w:jc w:val="both"/>
              <w:rPr>
                <w:bCs/>
              </w:rPr>
            </w:pPr>
            <w:r>
              <w:rPr>
                <w:bCs/>
              </w:rPr>
              <w:t>Ryan Brown</w:t>
            </w:r>
            <w:r w:rsidR="009620BE">
              <w:rPr>
                <w:bCs/>
              </w:rPr>
              <w:t>, Volunteer (Fall)</w:t>
            </w:r>
          </w:p>
        </w:tc>
        <w:tc>
          <w:tcPr>
            <w:tcW w:w="643" w:type="dxa"/>
          </w:tcPr>
          <w:p w:rsidR="00FE48AD" w:rsidRDefault="00F6507D" w:rsidP="002C208E">
            <w:pPr>
              <w:jc w:val="both"/>
              <w:rPr>
                <w:bCs/>
              </w:rPr>
            </w:pPr>
            <w:r>
              <w:rPr>
                <w:bCs/>
              </w:rPr>
              <w:t>P</w:t>
            </w:r>
          </w:p>
        </w:tc>
        <w:tc>
          <w:tcPr>
            <w:tcW w:w="629" w:type="dxa"/>
          </w:tcPr>
          <w:p w:rsidR="00FE48AD" w:rsidRPr="00801C10" w:rsidRDefault="00801C10" w:rsidP="002C208E">
            <w:pPr>
              <w:jc w:val="both"/>
              <w:rPr>
                <w:bCs/>
              </w:rPr>
            </w:pPr>
            <w:r w:rsidRPr="00801C10">
              <w:rPr>
                <w:bCs/>
              </w:rPr>
              <w:t>P</w:t>
            </w:r>
          </w:p>
        </w:tc>
        <w:tc>
          <w:tcPr>
            <w:tcW w:w="715" w:type="dxa"/>
          </w:tcPr>
          <w:p w:rsidR="00FE48AD" w:rsidRDefault="00AC63CE" w:rsidP="002C208E">
            <w:pPr>
              <w:jc w:val="both"/>
              <w:rPr>
                <w:bCs/>
              </w:rPr>
            </w:pPr>
            <w:r>
              <w:rPr>
                <w:bCs/>
              </w:rPr>
              <w:t>P</w:t>
            </w:r>
          </w:p>
        </w:tc>
        <w:tc>
          <w:tcPr>
            <w:tcW w:w="643" w:type="dxa"/>
          </w:tcPr>
          <w:p w:rsidR="00FE48AD" w:rsidRDefault="00AC63CE" w:rsidP="002C208E">
            <w:pPr>
              <w:jc w:val="both"/>
              <w:rPr>
                <w:bCs/>
              </w:rPr>
            </w:pPr>
            <w:r>
              <w:rPr>
                <w:bCs/>
              </w:rPr>
              <w:t>P</w:t>
            </w:r>
          </w:p>
        </w:tc>
        <w:tc>
          <w:tcPr>
            <w:tcW w:w="718" w:type="dxa"/>
          </w:tcPr>
          <w:p w:rsidR="00FE48AD" w:rsidRDefault="00C14096" w:rsidP="002C208E">
            <w:pPr>
              <w:jc w:val="both"/>
              <w:rPr>
                <w:bCs/>
              </w:rPr>
            </w:pPr>
            <w:r>
              <w:rPr>
                <w:bCs/>
              </w:rPr>
              <w:t>P</w:t>
            </w:r>
          </w:p>
        </w:tc>
        <w:tc>
          <w:tcPr>
            <w:tcW w:w="627" w:type="dxa"/>
          </w:tcPr>
          <w:p w:rsidR="00FE48AD" w:rsidRDefault="00F6507D" w:rsidP="002C208E">
            <w:pPr>
              <w:jc w:val="both"/>
              <w:rPr>
                <w:bCs/>
              </w:rPr>
            </w:pPr>
            <w:r>
              <w:rPr>
                <w:bCs/>
              </w:rPr>
              <w:t>NA</w:t>
            </w:r>
          </w:p>
        </w:tc>
        <w:tc>
          <w:tcPr>
            <w:tcW w:w="627" w:type="dxa"/>
          </w:tcPr>
          <w:p w:rsidR="00FE48AD" w:rsidRDefault="00F6507D" w:rsidP="002C208E">
            <w:pPr>
              <w:jc w:val="both"/>
              <w:rPr>
                <w:bCs/>
              </w:rPr>
            </w:pPr>
            <w:r>
              <w:rPr>
                <w:bCs/>
              </w:rPr>
              <w:t>NA</w:t>
            </w:r>
          </w:p>
        </w:tc>
        <w:tc>
          <w:tcPr>
            <w:tcW w:w="661" w:type="dxa"/>
          </w:tcPr>
          <w:p w:rsidR="00FE48AD" w:rsidRDefault="00F6507D" w:rsidP="002C208E">
            <w:pPr>
              <w:jc w:val="both"/>
              <w:rPr>
                <w:bCs/>
              </w:rPr>
            </w:pPr>
            <w:r>
              <w:rPr>
                <w:bCs/>
              </w:rPr>
              <w:t>NA</w:t>
            </w:r>
          </w:p>
        </w:tc>
      </w:tr>
      <w:tr w:rsidR="00FE48AD" w:rsidTr="00F6507D">
        <w:tc>
          <w:tcPr>
            <w:tcW w:w="4663" w:type="dxa"/>
          </w:tcPr>
          <w:p w:rsidR="00FE48AD" w:rsidRDefault="00FE48AD" w:rsidP="002C208E">
            <w:pPr>
              <w:jc w:val="both"/>
              <w:rPr>
                <w:bCs/>
              </w:rPr>
            </w:pPr>
            <w:r>
              <w:rPr>
                <w:bCs/>
              </w:rPr>
              <w:t>Kell Carpenter</w:t>
            </w:r>
            <w:r w:rsidR="009620BE">
              <w:rPr>
                <w:bCs/>
              </w:rPr>
              <w:t xml:space="preserve"> (Spring)</w:t>
            </w:r>
          </w:p>
        </w:tc>
        <w:tc>
          <w:tcPr>
            <w:tcW w:w="643" w:type="dxa"/>
          </w:tcPr>
          <w:p w:rsidR="00FE48AD" w:rsidRDefault="00F6507D" w:rsidP="002C208E">
            <w:pPr>
              <w:jc w:val="both"/>
              <w:rPr>
                <w:bCs/>
              </w:rPr>
            </w:pPr>
            <w:r>
              <w:rPr>
                <w:bCs/>
              </w:rPr>
              <w:t>NA</w:t>
            </w:r>
          </w:p>
        </w:tc>
        <w:tc>
          <w:tcPr>
            <w:tcW w:w="629" w:type="dxa"/>
          </w:tcPr>
          <w:p w:rsidR="00FE48AD" w:rsidRPr="00801C10" w:rsidRDefault="00F6507D" w:rsidP="002C208E">
            <w:pPr>
              <w:jc w:val="both"/>
              <w:rPr>
                <w:bCs/>
              </w:rPr>
            </w:pPr>
            <w:r w:rsidRPr="00801C10">
              <w:rPr>
                <w:bCs/>
              </w:rPr>
              <w:t>NA</w:t>
            </w:r>
          </w:p>
        </w:tc>
        <w:tc>
          <w:tcPr>
            <w:tcW w:w="715" w:type="dxa"/>
          </w:tcPr>
          <w:p w:rsidR="00FE48AD" w:rsidRDefault="00F6507D" w:rsidP="002C208E">
            <w:pPr>
              <w:jc w:val="both"/>
              <w:rPr>
                <w:bCs/>
              </w:rPr>
            </w:pPr>
            <w:r>
              <w:rPr>
                <w:bCs/>
              </w:rPr>
              <w:t>NA</w:t>
            </w:r>
          </w:p>
        </w:tc>
        <w:tc>
          <w:tcPr>
            <w:tcW w:w="643" w:type="dxa"/>
          </w:tcPr>
          <w:p w:rsidR="00FE48AD" w:rsidRDefault="00F6507D" w:rsidP="002C208E">
            <w:pPr>
              <w:jc w:val="both"/>
              <w:rPr>
                <w:bCs/>
              </w:rPr>
            </w:pPr>
            <w:r>
              <w:rPr>
                <w:bCs/>
              </w:rPr>
              <w:t>NA</w:t>
            </w:r>
          </w:p>
        </w:tc>
        <w:tc>
          <w:tcPr>
            <w:tcW w:w="718" w:type="dxa"/>
          </w:tcPr>
          <w:p w:rsidR="00FE48AD" w:rsidRDefault="00F6507D" w:rsidP="002C208E">
            <w:pPr>
              <w:jc w:val="both"/>
              <w:rPr>
                <w:bCs/>
              </w:rPr>
            </w:pPr>
            <w:r>
              <w:rPr>
                <w:bCs/>
              </w:rPr>
              <w:t>NA</w:t>
            </w:r>
          </w:p>
        </w:tc>
        <w:tc>
          <w:tcPr>
            <w:tcW w:w="627" w:type="dxa"/>
          </w:tcPr>
          <w:p w:rsidR="00FE48AD" w:rsidRDefault="00C14096" w:rsidP="002C208E">
            <w:pPr>
              <w:jc w:val="both"/>
              <w:rPr>
                <w:bCs/>
              </w:rPr>
            </w:pPr>
            <w:r>
              <w:rPr>
                <w:bCs/>
              </w:rPr>
              <w:t>R</w:t>
            </w:r>
          </w:p>
        </w:tc>
        <w:tc>
          <w:tcPr>
            <w:tcW w:w="627" w:type="dxa"/>
          </w:tcPr>
          <w:p w:rsidR="00FE48AD" w:rsidRDefault="001C7CC3" w:rsidP="002C208E">
            <w:pPr>
              <w:jc w:val="both"/>
              <w:rPr>
                <w:bCs/>
              </w:rPr>
            </w:pPr>
            <w:r>
              <w:rPr>
                <w:bCs/>
              </w:rPr>
              <w:t>P</w:t>
            </w:r>
          </w:p>
        </w:tc>
        <w:tc>
          <w:tcPr>
            <w:tcW w:w="661" w:type="dxa"/>
          </w:tcPr>
          <w:p w:rsidR="00FE48AD" w:rsidRDefault="006524AB" w:rsidP="002C208E">
            <w:pPr>
              <w:jc w:val="both"/>
              <w:rPr>
                <w:bCs/>
              </w:rPr>
            </w:pPr>
            <w:r>
              <w:rPr>
                <w:bCs/>
              </w:rPr>
              <w:t>R</w:t>
            </w:r>
          </w:p>
        </w:tc>
      </w:tr>
      <w:tr w:rsidR="00FE48AD" w:rsidTr="00F6507D">
        <w:tc>
          <w:tcPr>
            <w:tcW w:w="4663" w:type="dxa"/>
          </w:tcPr>
          <w:p w:rsidR="00FE48AD" w:rsidRDefault="00FE48AD" w:rsidP="002C208E">
            <w:pPr>
              <w:jc w:val="both"/>
              <w:rPr>
                <w:bCs/>
              </w:rPr>
            </w:pPr>
            <w:r>
              <w:rPr>
                <w:bCs/>
              </w:rPr>
              <w:t>Carrie Cook</w:t>
            </w:r>
            <w:r w:rsidR="009620BE">
              <w:rPr>
                <w:bCs/>
              </w:rPr>
              <w:t>, CAO Designee</w:t>
            </w:r>
          </w:p>
        </w:tc>
        <w:tc>
          <w:tcPr>
            <w:tcW w:w="643" w:type="dxa"/>
          </w:tcPr>
          <w:p w:rsidR="00FE48AD" w:rsidRDefault="00F6507D" w:rsidP="002C208E">
            <w:pPr>
              <w:jc w:val="both"/>
              <w:rPr>
                <w:bCs/>
              </w:rPr>
            </w:pPr>
            <w:r>
              <w:rPr>
                <w:bCs/>
              </w:rPr>
              <w:t>A</w:t>
            </w:r>
          </w:p>
        </w:tc>
        <w:tc>
          <w:tcPr>
            <w:tcW w:w="629" w:type="dxa"/>
          </w:tcPr>
          <w:p w:rsidR="00FE48AD" w:rsidRPr="00801C10" w:rsidRDefault="00F758EC" w:rsidP="002C208E">
            <w:pPr>
              <w:jc w:val="both"/>
              <w:rPr>
                <w:bCs/>
              </w:rPr>
            </w:pPr>
            <w:r w:rsidRPr="00801C10">
              <w:rPr>
                <w:bCs/>
              </w:rPr>
              <w:t>P</w:t>
            </w:r>
          </w:p>
        </w:tc>
        <w:tc>
          <w:tcPr>
            <w:tcW w:w="715" w:type="dxa"/>
          </w:tcPr>
          <w:p w:rsidR="00FE48AD" w:rsidRDefault="00AC63CE" w:rsidP="002C208E">
            <w:pPr>
              <w:jc w:val="both"/>
              <w:rPr>
                <w:bCs/>
              </w:rPr>
            </w:pPr>
            <w:r>
              <w:rPr>
                <w:bCs/>
              </w:rPr>
              <w:t>P</w:t>
            </w:r>
          </w:p>
        </w:tc>
        <w:tc>
          <w:tcPr>
            <w:tcW w:w="643" w:type="dxa"/>
          </w:tcPr>
          <w:p w:rsidR="00FE48AD" w:rsidRDefault="00AC63CE" w:rsidP="002C208E">
            <w:pPr>
              <w:jc w:val="both"/>
              <w:rPr>
                <w:bCs/>
              </w:rPr>
            </w:pPr>
            <w:r>
              <w:rPr>
                <w:bCs/>
              </w:rPr>
              <w:t>P</w:t>
            </w:r>
          </w:p>
        </w:tc>
        <w:tc>
          <w:tcPr>
            <w:tcW w:w="718" w:type="dxa"/>
          </w:tcPr>
          <w:p w:rsidR="00FE48AD" w:rsidRDefault="00C14096" w:rsidP="002C208E">
            <w:pPr>
              <w:jc w:val="both"/>
              <w:rPr>
                <w:bCs/>
              </w:rPr>
            </w:pPr>
            <w:r>
              <w:rPr>
                <w:bCs/>
              </w:rPr>
              <w:t>P</w:t>
            </w:r>
          </w:p>
        </w:tc>
        <w:tc>
          <w:tcPr>
            <w:tcW w:w="627" w:type="dxa"/>
          </w:tcPr>
          <w:p w:rsidR="00FE48AD" w:rsidRDefault="00C14096" w:rsidP="002C208E">
            <w:pPr>
              <w:jc w:val="both"/>
              <w:rPr>
                <w:bCs/>
              </w:rPr>
            </w:pPr>
            <w:r>
              <w:rPr>
                <w:bCs/>
              </w:rPr>
              <w:t>R</w:t>
            </w:r>
          </w:p>
        </w:tc>
        <w:tc>
          <w:tcPr>
            <w:tcW w:w="627" w:type="dxa"/>
          </w:tcPr>
          <w:p w:rsidR="00FE48AD" w:rsidRDefault="001C7CC3" w:rsidP="002C208E">
            <w:pPr>
              <w:jc w:val="both"/>
              <w:rPr>
                <w:bCs/>
              </w:rPr>
            </w:pPr>
            <w:r>
              <w:rPr>
                <w:bCs/>
              </w:rPr>
              <w:t>P</w:t>
            </w:r>
          </w:p>
        </w:tc>
        <w:tc>
          <w:tcPr>
            <w:tcW w:w="661" w:type="dxa"/>
          </w:tcPr>
          <w:p w:rsidR="00FE48AD" w:rsidRDefault="006524AB" w:rsidP="002C208E">
            <w:pPr>
              <w:jc w:val="both"/>
              <w:rPr>
                <w:bCs/>
              </w:rPr>
            </w:pPr>
            <w:r>
              <w:rPr>
                <w:bCs/>
              </w:rPr>
              <w:t>P</w:t>
            </w:r>
          </w:p>
        </w:tc>
      </w:tr>
      <w:tr w:rsidR="00FE48AD" w:rsidTr="00F6507D">
        <w:tc>
          <w:tcPr>
            <w:tcW w:w="4663" w:type="dxa"/>
          </w:tcPr>
          <w:p w:rsidR="00FE48AD" w:rsidRDefault="00FE48AD" w:rsidP="002C208E">
            <w:pPr>
              <w:jc w:val="both"/>
              <w:rPr>
                <w:bCs/>
              </w:rPr>
            </w:pPr>
            <w:r>
              <w:rPr>
                <w:bCs/>
              </w:rPr>
              <w:t>David Johnson</w:t>
            </w:r>
            <w:r w:rsidR="009620BE">
              <w:rPr>
                <w:bCs/>
              </w:rPr>
              <w:t>, Senator, Secretary</w:t>
            </w:r>
          </w:p>
        </w:tc>
        <w:tc>
          <w:tcPr>
            <w:tcW w:w="643" w:type="dxa"/>
          </w:tcPr>
          <w:p w:rsidR="00FE48AD" w:rsidRDefault="00F6507D" w:rsidP="002C208E">
            <w:pPr>
              <w:jc w:val="both"/>
              <w:rPr>
                <w:bCs/>
              </w:rPr>
            </w:pPr>
            <w:r>
              <w:rPr>
                <w:bCs/>
              </w:rPr>
              <w:t>P</w:t>
            </w:r>
          </w:p>
        </w:tc>
        <w:tc>
          <w:tcPr>
            <w:tcW w:w="629" w:type="dxa"/>
          </w:tcPr>
          <w:p w:rsidR="00FE48AD" w:rsidRPr="00801C10" w:rsidRDefault="00AC63CE" w:rsidP="002C208E">
            <w:pPr>
              <w:jc w:val="both"/>
              <w:rPr>
                <w:bCs/>
              </w:rPr>
            </w:pPr>
            <w:r w:rsidRPr="00801C10">
              <w:rPr>
                <w:bCs/>
              </w:rPr>
              <w:t>P</w:t>
            </w:r>
          </w:p>
        </w:tc>
        <w:tc>
          <w:tcPr>
            <w:tcW w:w="715" w:type="dxa"/>
          </w:tcPr>
          <w:p w:rsidR="00FE48AD" w:rsidRDefault="00AC63CE" w:rsidP="002C208E">
            <w:pPr>
              <w:jc w:val="both"/>
              <w:rPr>
                <w:bCs/>
              </w:rPr>
            </w:pPr>
            <w:r>
              <w:rPr>
                <w:bCs/>
              </w:rPr>
              <w:t>P</w:t>
            </w:r>
          </w:p>
        </w:tc>
        <w:tc>
          <w:tcPr>
            <w:tcW w:w="643" w:type="dxa"/>
          </w:tcPr>
          <w:p w:rsidR="00FE48AD" w:rsidRDefault="00AC63CE" w:rsidP="002C208E">
            <w:pPr>
              <w:jc w:val="both"/>
              <w:rPr>
                <w:bCs/>
              </w:rPr>
            </w:pPr>
            <w:r>
              <w:rPr>
                <w:bCs/>
              </w:rPr>
              <w:t>P</w:t>
            </w:r>
          </w:p>
        </w:tc>
        <w:tc>
          <w:tcPr>
            <w:tcW w:w="718" w:type="dxa"/>
          </w:tcPr>
          <w:p w:rsidR="00FE48AD" w:rsidRDefault="00C14096" w:rsidP="002C208E">
            <w:pPr>
              <w:jc w:val="both"/>
              <w:rPr>
                <w:bCs/>
              </w:rPr>
            </w:pPr>
            <w:r>
              <w:rPr>
                <w:bCs/>
              </w:rPr>
              <w:t>P</w:t>
            </w:r>
          </w:p>
        </w:tc>
        <w:tc>
          <w:tcPr>
            <w:tcW w:w="627" w:type="dxa"/>
          </w:tcPr>
          <w:p w:rsidR="00FE48AD" w:rsidRDefault="00C14096" w:rsidP="002C208E">
            <w:pPr>
              <w:jc w:val="both"/>
              <w:rPr>
                <w:bCs/>
              </w:rPr>
            </w:pPr>
            <w:r>
              <w:rPr>
                <w:bCs/>
              </w:rPr>
              <w:t>P</w:t>
            </w:r>
          </w:p>
        </w:tc>
        <w:tc>
          <w:tcPr>
            <w:tcW w:w="627" w:type="dxa"/>
          </w:tcPr>
          <w:p w:rsidR="00FE48AD" w:rsidRDefault="001C7CC3" w:rsidP="002C208E">
            <w:pPr>
              <w:jc w:val="both"/>
              <w:rPr>
                <w:bCs/>
              </w:rPr>
            </w:pPr>
            <w:r>
              <w:rPr>
                <w:bCs/>
              </w:rPr>
              <w:t>P</w:t>
            </w:r>
          </w:p>
        </w:tc>
        <w:tc>
          <w:tcPr>
            <w:tcW w:w="661" w:type="dxa"/>
          </w:tcPr>
          <w:p w:rsidR="00FE48AD" w:rsidRDefault="006524AB" w:rsidP="002C208E">
            <w:pPr>
              <w:jc w:val="both"/>
              <w:rPr>
                <w:bCs/>
              </w:rPr>
            </w:pPr>
            <w:r>
              <w:rPr>
                <w:bCs/>
              </w:rPr>
              <w:t>P</w:t>
            </w:r>
          </w:p>
        </w:tc>
      </w:tr>
      <w:tr w:rsidR="00FE48AD" w:rsidTr="00F6507D">
        <w:tc>
          <w:tcPr>
            <w:tcW w:w="4663" w:type="dxa"/>
          </w:tcPr>
          <w:p w:rsidR="00FE48AD" w:rsidRDefault="00FE48AD" w:rsidP="002C208E">
            <w:pPr>
              <w:jc w:val="both"/>
              <w:rPr>
                <w:bCs/>
              </w:rPr>
            </w:pPr>
            <w:r>
              <w:rPr>
                <w:bCs/>
              </w:rPr>
              <w:t>Monica Ketchie</w:t>
            </w:r>
            <w:r w:rsidR="009620BE">
              <w:rPr>
                <w:bCs/>
              </w:rPr>
              <w:t>, Volunteer</w:t>
            </w:r>
          </w:p>
        </w:tc>
        <w:tc>
          <w:tcPr>
            <w:tcW w:w="643" w:type="dxa"/>
          </w:tcPr>
          <w:p w:rsidR="00FE48AD" w:rsidRDefault="00F6507D" w:rsidP="002C208E">
            <w:pPr>
              <w:jc w:val="both"/>
              <w:rPr>
                <w:bCs/>
              </w:rPr>
            </w:pPr>
            <w:r>
              <w:rPr>
                <w:bCs/>
              </w:rPr>
              <w:t>P</w:t>
            </w:r>
          </w:p>
        </w:tc>
        <w:tc>
          <w:tcPr>
            <w:tcW w:w="629" w:type="dxa"/>
          </w:tcPr>
          <w:p w:rsidR="00FE48AD" w:rsidRPr="00801C10" w:rsidRDefault="00801C10" w:rsidP="002C208E">
            <w:pPr>
              <w:jc w:val="both"/>
              <w:rPr>
                <w:bCs/>
              </w:rPr>
            </w:pPr>
            <w:r w:rsidRPr="00801C10">
              <w:rPr>
                <w:bCs/>
              </w:rPr>
              <w:t>P</w:t>
            </w:r>
          </w:p>
        </w:tc>
        <w:tc>
          <w:tcPr>
            <w:tcW w:w="715" w:type="dxa"/>
          </w:tcPr>
          <w:p w:rsidR="00FE48AD" w:rsidRDefault="00AC63CE" w:rsidP="002C208E">
            <w:pPr>
              <w:jc w:val="both"/>
              <w:rPr>
                <w:bCs/>
              </w:rPr>
            </w:pPr>
            <w:r>
              <w:rPr>
                <w:bCs/>
              </w:rPr>
              <w:t>R</w:t>
            </w:r>
          </w:p>
        </w:tc>
        <w:tc>
          <w:tcPr>
            <w:tcW w:w="643" w:type="dxa"/>
          </w:tcPr>
          <w:p w:rsidR="00FE48AD" w:rsidRDefault="00AC63CE" w:rsidP="002C208E">
            <w:pPr>
              <w:jc w:val="both"/>
              <w:rPr>
                <w:bCs/>
              </w:rPr>
            </w:pPr>
            <w:r>
              <w:rPr>
                <w:bCs/>
              </w:rPr>
              <w:t>R</w:t>
            </w:r>
          </w:p>
        </w:tc>
        <w:tc>
          <w:tcPr>
            <w:tcW w:w="718" w:type="dxa"/>
          </w:tcPr>
          <w:p w:rsidR="00FE48AD" w:rsidRDefault="00C14096" w:rsidP="002C208E">
            <w:pPr>
              <w:jc w:val="both"/>
              <w:rPr>
                <w:bCs/>
              </w:rPr>
            </w:pPr>
            <w:r>
              <w:rPr>
                <w:bCs/>
              </w:rPr>
              <w:t>R</w:t>
            </w:r>
          </w:p>
        </w:tc>
        <w:tc>
          <w:tcPr>
            <w:tcW w:w="627" w:type="dxa"/>
          </w:tcPr>
          <w:p w:rsidR="00FE48AD" w:rsidRDefault="00C14096" w:rsidP="002C208E">
            <w:pPr>
              <w:jc w:val="both"/>
              <w:rPr>
                <w:bCs/>
              </w:rPr>
            </w:pPr>
            <w:r>
              <w:rPr>
                <w:bCs/>
              </w:rPr>
              <w:t>P</w:t>
            </w:r>
          </w:p>
        </w:tc>
        <w:tc>
          <w:tcPr>
            <w:tcW w:w="627" w:type="dxa"/>
          </w:tcPr>
          <w:p w:rsidR="00FE48AD" w:rsidRDefault="001C7CC3" w:rsidP="002C208E">
            <w:pPr>
              <w:jc w:val="both"/>
              <w:rPr>
                <w:bCs/>
              </w:rPr>
            </w:pPr>
            <w:r>
              <w:rPr>
                <w:bCs/>
              </w:rPr>
              <w:t>P</w:t>
            </w:r>
          </w:p>
        </w:tc>
        <w:tc>
          <w:tcPr>
            <w:tcW w:w="661" w:type="dxa"/>
          </w:tcPr>
          <w:p w:rsidR="00FE48AD" w:rsidRDefault="006524AB" w:rsidP="002C208E">
            <w:pPr>
              <w:jc w:val="both"/>
              <w:rPr>
                <w:bCs/>
              </w:rPr>
            </w:pPr>
            <w:r>
              <w:rPr>
                <w:bCs/>
              </w:rPr>
              <w:t>P</w:t>
            </w:r>
          </w:p>
        </w:tc>
      </w:tr>
      <w:tr w:rsidR="00AC63CE" w:rsidTr="00F6507D">
        <w:tc>
          <w:tcPr>
            <w:tcW w:w="4663" w:type="dxa"/>
          </w:tcPr>
          <w:p w:rsidR="00FE48AD" w:rsidRDefault="00FE48AD" w:rsidP="002C208E">
            <w:pPr>
              <w:jc w:val="both"/>
              <w:rPr>
                <w:bCs/>
              </w:rPr>
            </w:pPr>
            <w:r>
              <w:rPr>
                <w:bCs/>
              </w:rPr>
              <w:t>Mary Jean Lan</w:t>
            </w:r>
            <w:r w:rsidR="009620BE">
              <w:rPr>
                <w:bCs/>
              </w:rPr>
              <w:t>d, Senator</w:t>
            </w:r>
          </w:p>
        </w:tc>
        <w:tc>
          <w:tcPr>
            <w:tcW w:w="643" w:type="dxa"/>
          </w:tcPr>
          <w:p w:rsidR="00FE48AD" w:rsidRDefault="00F6507D" w:rsidP="002C208E">
            <w:pPr>
              <w:jc w:val="both"/>
              <w:rPr>
                <w:bCs/>
              </w:rPr>
            </w:pPr>
            <w:r>
              <w:rPr>
                <w:bCs/>
              </w:rPr>
              <w:t>R</w:t>
            </w:r>
          </w:p>
        </w:tc>
        <w:tc>
          <w:tcPr>
            <w:tcW w:w="629" w:type="dxa"/>
          </w:tcPr>
          <w:p w:rsidR="00FE48AD" w:rsidRPr="00801C10" w:rsidRDefault="00CC12D0" w:rsidP="002C208E">
            <w:pPr>
              <w:jc w:val="both"/>
              <w:rPr>
                <w:bCs/>
              </w:rPr>
            </w:pPr>
            <w:r w:rsidRPr="00801C10">
              <w:rPr>
                <w:bCs/>
              </w:rPr>
              <w:t>P</w:t>
            </w:r>
          </w:p>
        </w:tc>
        <w:tc>
          <w:tcPr>
            <w:tcW w:w="715" w:type="dxa"/>
          </w:tcPr>
          <w:p w:rsidR="00FE48AD" w:rsidRDefault="00AC63CE" w:rsidP="002C208E">
            <w:pPr>
              <w:jc w:val="both"/>
              <w:rPr>
                <w:bCs/>
              </w:rPr>
            </w:pPr>
            <w:r>
              <w:rPr>
                <w:bCs/>
              </w:rPr>
              <w:t>R</w:t>
            </w:r>
          </w:p>
        </w:tc>
        <w:tc>
          <w:tcPr>
            <w:tcW w:w="643" w:type="dxa"/>
          </w:tcPr>
          <w:p w:rsidR="00FE48AD" w:rsidRDefault="00AC63CE" w:rsidP="002C208E">
            <w:pPr>
              <w:jc w:val="both"/>
              <w:rPr>
                <w:bCs/>
              </w:rPr>
            </w:pPr>
            <w:r>
              <w:rPr>
                <w:bCs/>
              </w:rPr>
              <w:t>P</w:t>
            </w:r>
          </w:p>
        </w:tc>
        <w:tc>
          <w:tcPr>
            <w:tcW w:w="718" w:type="dxa"/>
          </w:tcPr>
          <w:p w:rsidR="00FE48AD" w:rsidRDefault="00C14096" w:rsidP="002C208E">
            <w:pPr>
              <w:jc w:val="both"/>
              <w:rPr>
                <w:bCs/>
              </w:rPr>
            </w:pPr>
            <w:r>
              <w:rPr>
                <w:bCs/>
              </w:rPr>
              <w:t>P</w:t>
            </w:r>
          </w:p>
        </w:tc>
        <w:tc>
          <w:tcPr>
            <w:tcW w:w="627" w:type="dxa"/>
          </w:tcPr>
          <w:p w:rsidR="00FE48AD" w:rsidRDefault="00C14096" w:rsidP="002C208E">
            <w:pPr>
              <w:jc w:val="both"/>
              <w:rPr>
                <w:bCs/>
              </w:rPr>
            </w:pPr>
            <w:r>
              <w:rPr>
                <w:bCs/>
              </w:rPr>
              <w:t>P</w:t>
            </w:r>
          </w:p>
        </w:tc>
        <w:tc>
          <w:tcPr>
            <w:tcW w:w="627" w:type="dxa"/>
          </w:tcPr>
          <w:p w:rsidR="00FE48AD" w:rsidRDefault="001C7CC3" w:rsidP="002C208E">
            <w:pPr>
              <w:jc w:val="both"/>
              <w:rPr>
                <w:bCs/>
              </w:rPr>
            </w:pPr>
            <w:r>
              <w:rPr>
                <w:bCs/>
              </w:rPr>
              <w:t>P</w:t>
            </w:r>
          </w:p>
        </w:tc>
        <w:tc>
          <w:tcPr>
            <w:tcW w:w="661" w:type="dxa"/>
          </w:tcPr>
          <w:p w:rsidR="00FE48AD" w:rsidRDefault="006524AB" w:rsidP="002C208E">
            <w:pPr>
              <w:jc w:val="both"/>
              <w:rPr>
                <w:bCs/>
              </w:rPr>
            </w:pPr>
            <w:r>
              <w:rPr>
                <w:bCs/>
              </w:rPr>
              <w:t>P</w:t>
            </w:r>
          </w:p>
        </w:tc>
      </w:tr>
      <w:tr w:rsidR="00AC63CE" w:rsidTr="00F6507D">
        <w:tc>
          <w:tcPr>
            <w:tcW w:w="4663" w:type="dxa"/>
          </w:tcPr>
          <w:p w:rsidR="00FE48AD" w:rsidRDefault="00F6507D" w:rsidP="002C208E">
            <w:pPr>
              <w:jc w:val="both"/>
              <w:rPr>
                <w:bCs/>
              </w:rPr>
            </w:pPr>
            <w:r>
              <w:rPr>
                <w:bCs/>
              </w:rPr>
              <w:t>Joe Mocnik, Volunteer (Fall)</w:t>
            </w:r>
          </w:p>
        </w:tc>
        <w:tc>
          <w:tcPr>
            <w:tcW w:w="643" w:type="dxa"/>
          </w:tcPr>
          <w:p w:rsidR="00FE48AD" w:rsidRDefault="00F6507D" w:rsidP="002C208E">
            <w:pPr>
              <w:jc w:val="both"/>
              <w:rPr>
                <w:bCs/>
              </w:rPr>
            </w:pPr>
            <w:r>
              <w:rPr>
                <w:bCs/>
              </w:rPr>
              <w:t>P</w:t>
            </w:r>
          </w:p>
        </w:tc>
        <w:tc>
          <w:tcPr>
            <w:tcW w:w="629" w:type="dxa"/>
          </w:tcPr>
          <w:p w:rsidR="00FE48AD" w:rsidRPr="00801C10" w:rsidRDefault="00801C10" w:rsidP="002C208E">
            <w:pPr>
              <w:jc w:val="both"/>
              <w:rPr>
                <w:bCs/>
              </w:rPr>
            </w:pPr>
            <w:r w:rsidRPr="00801C10">
              <w:rPr>
                <w:bCs/>
              </w:rPr>
              <w:t>P</w:t>
            </w:r>
          </w:p>
        </w:tc>
        <w:tc>
          <w:tcPr>
            <w:tcW w:w="715" w:type="dxa"/>
          </w:tcPr>
          <w:p w:rsidR="00FE48AD" w:rsidRDefault="00AC63CE" w:rsidP="002C208E">
            <w:pPr>
              <w:jc w:val="both"/>
              <w:rPr>
                <w:bCs/>
              </w:rPr>
            </w:pPr>
            <w:r>
              <w:rPr>
                <w:bCs/>
              </w:rPr>
              <w:t>R</w:t>
            </w:r>
          </w:p>
        </w:tc>
        <w:tc>
          <w:tcPr>
            <w:tcW w:w="643" w:type="dxa"/>
          </w:tcPr>
          <w:p w:rsidR="00FE48AD" w:rsidRDefault="00AC63CE" w:rsidP="002C208E">
            <w:pPr>
              <w:jc w:val="both"/>
              <w:rPr>
                <w:bCs/>
              </w:rPr>
            </w:pPr>
            <w:r>
              <w:rPr>
                <w:bCs/>
              </w:rPr>
              <w:t>P</w:t>
            </w:r>
          </w:p>
        </w:tc>
        <w:tc>
          <w:tcPr>
            <w:tcW w:w="718" w:type="dxa"/>
          </w:tcPr>
          <w:p w:rsidR="00FE48AD" w:rsidRDefault="00C14096" w:rsidP="002C208E">
            <w:pPr>
              <w:jc w:val="both"/>
              <w:rPr>
                <w:bCs/>
              </w:rPr>
            </w:pPr>
            <w:r>
              <w:rPr>
                <w:bCs/>
              </w:rPr>
              <w:t>R</w:t>
            </w:r>
          </w:p>
        </w:tc>
        <w:tc>
          <w:tcPr>
            <w:tcW w:w="627" w:type="dxa"/>
          </w:tcPr>
          <w:p w:rsidR="00FE48AD" w:rsidRDefault="00F6507D" w:rsidP="002C208E">
            <w:pPr>
              <w:jc w:val="both"/>
              <w:rPr>
                <w:bCs/>
              </w:rPr>
            </w:pPr>
            <w:r>
              <w:rPr>
                <w:bCs/>
              </w:rPr>
              <w:t>NA</w:t>
            </w:r>
          </w:p>
        </w:tc>
        <w:tc>
          <w:tcPr>
            <w:tcW w:w="627" w:type="dxa"/>
          </w:tcPr>
          <w:p w:rsidR="00FE48AD" w:rsidRDefault="00F6507D" w:rsidP="002C208E">
            <w:pPr>
              <w:jc w:val="both"/>
              <w:rPr>
                <w:bCs/>
              </w:rPr>
            </w:pPr>
            <w:r>
              <w:rPr>
                <w:bCs/>
              </w:rPr>
              <w:t>NA</w:t>
            </w:r>
          </w:p>
        </w:tc>
        <w:tc>
          <w:tcPr>
            <w:tcW w:w="661" w:type="dxa"/>
          </w:tcPr>
          <w:p w:rsidR="00FE48AD" w:rsidRDefault="00F6507D" w:rsidP="002C208E">
            <w:pPr>
              <w:jc w:val="both"/>
              <w:rPr>
                <w:bCs/>
              </w:rPr>
            </w:pPr>
            <w:r>
              <w:rPr>
                <w:bCs/>
              </w:rPr>
              <w:t>NA</w:t>
            </w:r>
          </w:p>
        </w:tc>
      </w:tr>
      <w:tr w:rsidR="00AC63CE" w:rsidTr="00F6507D">
        <w:tc>
          <w:tcPr>
            <w:tcW w:w="4663" w:type="dxa"/>
          </w:tcPr>
          <w:p w:rsidR="00F6507D" w:rsidRDefault="00F6507D" w:rsidP="002C208E">
            <w:pPr>
              <w:jc w:val="both"/>
              <w:rPr>
                <w:bCs/>
              </w:rPr>
            </w:pPr>
            <w:r>
              <w:rPr>
                <w:bCs/>
              </w:rPr>
              <w:t>Barbara Roquemore, Senator</w:t>
            </w:r>
          </w:p>
        </w:tc>
        <w:tc>
          <w:tcPr>
            <w:tcW w:w="643" w:type="dxa"/>
          </w:tcPr>
          <w:p w:rsidR="00F6507D" w:rsidRDefault="00F6507D" w:rsidP="002C208E">
            <w:pPr>
              <w:jc w:val="both"/>
              <w:rPr>
                <w:bCs/>
              </w:rPr>
            </w:pPr>
            <w:r>
              <w:rPr>
                <w:bCs/>
              </w:rPr>
              <w:t>P</w:t>
            </w:r>
          </w:p>
        </w:tc>
        <w:tc>
          <w:tcPr>
            <w:tcW w:w="629" w:type="dxa"/>
          </w:tcPr>
          <w:p w:rsidR="00F6507D" w:rsidRPr="00801C10" w:rsidRDefault="00801C10" w:rsidP="002C208E">
            <w:pPr>
              <w:jc w:val="both"/>
              <w:rPr>
                <w:bCs/>
              </w:rPr>
            </w:pPr>
            <w:r w:rsidRPr="00801C10">
              <w:rPr>
                <w:bCs/>
              </w:rPr>
              <w:t>P</w:t>
            </w:r>
          </w:p>
        </w:tc>
        <w:tc>
          <w:tcPr>
            <w:tcW w:w="715" w:type="dxa"/>
          </w:tcPr>
          <w:p w:rsidR="00F6507D" w:rsidRDefault="00AC63CE" w:rsidP="002C208E">
            <w:pPr>
              <w:jc w:val="both"/>
              <w:rPr>
                <w:bCs/>
              </w:rPr>
            </w:pPr>
            <w:r>
              <w:rPr>
                <w:bCs/>
              </w:rPr>
              <w:t>P</w:t>
            </w:r>
          </w:p>
        </w:tc>
        <w:tc>
          <w:tcPr>
            <w:tcW w:w="643" w:type="dxa"/>
          </w:tcPr>
          <w:p w:rsidR="00F6507D" w:rsidRDefault="00AC63CE" w:rsidP="002C208E">
            <w:pPr>
              <w:jc w:val="both"/>
              <w:rPr>
                <w:bCs/>
              </w:rPr>
            </w:pPr>
            <w:r>
              <w:rPr>
                <w:bCs/>
              </w:rPr>
              <w:t>P</w:t>
            </w:r>
          </w:p>
        </w:tc>
        <w:tc>
          <w:tcPr>
            <w:tcW w:w="718" w:type="dxa"/>
          </w:tcPr>
          <w:p w:rsidR="00F6507D" w:rsidRDefault="00C14096" w:rsidP="002C208E">
            <w:pPr>
              <w:jc w:val="both"/>
              <w:rPr>
                <w:bCs/>
              </w:rPr>
            </w:pPr>
            <w:r>
              <w:rPr>
                <w:bCs/>
              </w:rPr>
              <w:t>P</w:t>
            </w:r>
          </w:p>
        </w:tc>
        <w:tc>
          <w:tcPr>
            <w:tcW w:w="627" w:type="dxa"/>
          </w:tcPr>
          <w:p w:rsidR="00F6507D" w:rsidRDefault="00C14096" w:rsidP="002C208E">
            <w:pPr>
              <w:jc w:val="both"/>
              <w:rPr>
                <w:bCs/>
              </w:rPr>
            </w:pPr>
            <w:r>
              <w:rPr>
                <w:bCs/>
              </w:rPr>
              <w:t>P</w:t>
            </w:r>
          </w:p>
        </w:tc>
        <w:tc>
          <w:tcPr>
            <w:tcW w:w="627" w:type="dxa"/>
          </w:tcPr>
          <w:p w:rsidR="00F6507D" w:rsidRDefault="001C7CC3" w:rsidP="002C208E">
            <w:pPr>
              <w:jc w:val="both"/>
              <w:rPr>
                <w:bCs/>
              </w:rPr>
            </w:pPr>
            <w:r>
              <w:rPr>
                <w:bCs/>
              </w:rPr>
              <w:t>P</w:t>
            </w:r>
          </w:p>
        </w:tc>
        <w:tc>
          <w:tcPr>
            <w:tcW w:w="661" w:type="dxa"/>
          </w:tcPr>
          <w:p w:rsidR="00F6507D" w:rsidRDefault="006524AB" w:rsidP="002C208E">
            <w:pPr>
              <w:jc w:val="both"/>
              <w:rPr>
                <w:bCs/>
              </w:rPr>
            </w:pPr>
            <w:r>
              <w:rPr>
                <w:bCs/>
              </w:rPr>
              <w:t>P</w:t>
            </w:r>
          </w:p>
        </w:tc>
      </w:tr>
      <w:tr w:rsidR="00AC63CE" w:rsidTr="00F6507D">
        <w:tc>
          <w:tcPr>
            <w:tcW w:w="4663" w:type="dxa"/>
          </w:tcPr>
          <w:p w:rsidR="00F6507D" w:rsidRDefault="00F6507D" w:rsidP="002C208E">
            <w:pPr>
              <w:jc w:val="both"/>
              <w:rPr>
                <w:bCs/>
              </w:rPr>
            </w:pPr>
            <w:r>
              <w:rPr>
                <w:bCs/>
              </w:rPr>
              <w:t>Patrick Simmons, Volunteer</w:t>
            </w:r>
          </w:p>
        </w:tc>
        <w:tc>
          <w:tcPr>
            <w:tcW w:w="643" w:type="dxa"/>
          </w:tcPr>
          <w:p w:rsidR="00F6507D" w:rsidRDefault="00F6507D" w:rsidP="002C208E">
            <w:pPr>
              <w:jc w:val="both"/>
              <w:rPr>
                <w:bCs/>
              </w:rPr>
            </w:pPr>
            <w:r>
              <w:rPr>
                <w:bCs/>
              </w:rPr>
              <w:t>P</w:t>
            </w:r>
          </w:p>
        </w:tc>
        <w:tc>
          <w:tcPr>
            <w:tcW w:w="629" w:type="dxa"/>
          </w:tcPr>
          <w:p w:rsidR="00F6507D" w:rsidRPr="00801C10" w:rsidRDefault="00801C10" w:rsidP="002C208E">
            <w:pPr>
              <w:jc w:val="both"/>
              <w:rPr>
                <w:bCs/>
              </w:rPr>
            </w:pPr>
            <w:r w:rsidRPr="00801C10">
              <w:rPr>
                <w:bCs/>
              </w:rPr>
              <w:t>P</w:t>
            </w:r>
          </w:p>
        </w:tc>
        <w:tc>
          <w:tcPr>
            <w:tcW w:w="715" w:type="dxa"/>
          </w:tcPr>
          <w:p w:rsidR="00F6507D" w:rsidRDefault="00AC63CE" w:rsidP="002C208E">
            <w:pPr>
              <w:jc w:val="both"/>
              <w:rPr>
                <w:bCs/>
              </w:rPr>
            </w:pPr>
            <w:r>
              <w:rPr>
                <w:bCs/>
              </w:rPr>
              <w:t>P</w:t>
            </w:r>
          </w:p>
        </w:tc>
        <w:tc>
          <w:tcPr>
            <w:tcW w:w="643" w:type="dxa"/>
          </w:tcPr>
          <w:p w:rsidR="00F6507D" w:rsidRDefault="00AC63CE" w:rsidP="002C208E">
            <w:pPr>
              <w:jc w:val="both"/>
              <w:rPr>
                <w:bCs/>
              </w:rPr>
            </w:pPr>
            <w:r>
              <w:rPr>
                <w:bCs/>
              </w:rPr>
              <w:t>R</w:t>
            </w:r>
          </w:p>
        </w:tc>
        <w:tc>
          <w:tcPr>
            <w:tcW w:w="718" w:type="dxa"/>
          </w:tcPr>
          <w:p w:rsidR="00F6507D" w:rsidRDefault="00C14096" w:rsidP="002C208E">
            <w:pPr>
              <w:jc w:val="both"/>
              <w:rPr>
                <w:bCs/>
              </w:rPr>
            </w:pPr>
            <w:r>
              <w:rPr>
                <w:bCs/>
              </w:rPr>
              <w:t>P</w:t>
            </w:r>
          </w:p>
        </w:tc>
        <w:tc>
          <w:tcPr>
            <w:tcW w:w="627" w:type="dxa"/>
          </w:tcPr>
          <w:p w:rsidR="00F6507D" w:rsidRDefault="00C14096" w:rsidP="002C208E">
            <w:pPr>
              <w:jc w:val="both"/>
              <w:rPr>
                <w:bCs/>
              </w:rPr>
            </w:pPr>
            <w:r>
              <w:rPr>
                <w:bCs/>
              </w:rPr>
              <w:t>P</w:t>
            </w:r>
          </w:p>
        </w:tc>
        <w:tc>
          <w:tcPr>
            <w:tcW w:w="627" w:type="dxa"/>
          </w:tcPr>
          <w:p w:rsidR="00F6507D" w:rsidRDefault="001C7CC3" w:rsidP="002C208E">
            <w:pPr>
              <w:jc w:val="both"/>
              <w:rPr>
                <w:bCs/>
              </w:rPr>
            </w:pPr>
            <w:r>
              <w:rPr>
                <w:bCs/>
              </w:rPr>
              <w:t>R</w:t>
            </w:r>
          </w:p>
        </w:tc>
        <w:tc>
          <w:tcPr>
            <w:tcW w:w="661" w:type="dxa"/>
          </w:tcPr>
          <w:p w:rsidR="00F6507D" w:rsidRDefault="006524AB" w:rsidP="002C208E">
            <w:pPr>
              <w:jc w:val="both"/>
              <w:rPr>
                <w:bCs/>
              </w:rPr>
            </w:pPr>
            <w:r>
              <w:rPr>
                <w:bCs/>
              </w:rPr>
              <w:t>P</w:t>
            </w:r>
          </w:p>
        </w:tc>
      </w:tr>
      <w:tr w:rsidR="00AC63CE" w:rsidTr="00F6507D">
        <w:tc>
          <w:tcPr>
            <w:tcW w:w="4663" w:type="dxa"/>
          </w:tcPr>
          <w:p w:rsidR="00F6507D" w:rsidRDefault="00F6507D" w:rsidP="002C208E">
            <w:pPr>
              <w:jc w:val="both"/>
              <w:rPr>
                <w:bCs/>
              </w:rPr>
            </w:pPr>
            <w:r>
              <w:rPr>
                <w:bCs/>
              </w:rPr>
              <w:t>Christina Smith, Volunteer (Spring)</w:t>
            </w:r>
          </w:p>
        </w:tc>
        <w:tc>
          <w:tcPr>
            <w:tcW w:w="643" w:type="dxa"/>
          </w:tcPr>
          <w:p w:rsidR="00F6507D" w:rsidRDefault="00F6507D" w:rsidP="002C208E">
            <w:pPr>
              <w:jc w:val="both"/>
              <w:rPr>
                <w:bCs/>
              </w:rPr>
            </w:pPr>
            <w:r>
              <w:rPr>
                <w:bCs/>
              </w:rPr>
              <w:t>NA</w:t>
            </w:r>
          </w:p>
        </w:tc>
        <w:tc>
          <w:tcPr>
            <w:tcW w:w="629" w:type="dxa"/>
          </w:tcPr>
          <w:p w:rsidR="00F6507D" w:rsidRPr="00801C10" w:rsidRDefault="00F6507D" w:rsidP="002C208E">
            <w:pPr>
              <w:jc w:val="both"/>
              <w:rPr>
                <w:bCs/>
              </w:rPr>
            </w:pPr>
            <w:r w:rsidRPr="00801C10">
              <w:rPr>
                <w:bCs/>
              </w:rPr>
              <w:t>NA</w:t>
            </w:r>
          </w:p>
        </w:tc>
        <w:tc>
          <w:tcPr>
            <w:tcW w:w="715" w:type="dxa"/>
          </w:tcPr>
          <w:p w:rsidR="00F6507D" w:rsidRDefault="00F6507D" w:rsidP="002C208E">
            <w:pPr>
              <w:jc w:val="both"/>
              <w:rPr>
                <w:bCs/>
              </w:rPr>
            </w:pPr>
            <w:r>
              <w:rPr>
                <w:bCs/>
              </w:rPr>
              <w:t>NA</w:t>
            </w:r>
          </w:p>
        </w:tc>
        <w:tc>
          <w:tcPr>
            <w:tcW w:w="643" w:type="dxa"/>
          </w:tcPr>
          <w:p w:rsidR="00F6507D" w:rsidRDefault="00F6507D" w:rsidP="002C208E">
            <w:pPr>
              <w:jc w:val="both"/>
              <w:rPr>
                <w:bCs/>
              </w:rPr>
            </w:pPr>
            <w:r>
              <w:rPr>
                <w:bCs/>
              </w:rPr>
              <w:t>NA</w:t>
            </w:r>
          </w:p>
        </w:tc>
        <w:tc>
          <w:tcPr>
            <w:tcW w:w="718" w:type="dxa"/>
          </w:tcPr>
          <w:p w:rsidR="00F6507D" w:rsidRDefault="00F6507D" w:rsidP="002C208E">
            <w:pPr>
              <w:jc w:val="both"/>
              <w:rPr>
                <w:bCs/>
              </w:rPr>
            </w:pPr>
            <w:r>
              <w:rPr>
                <w:bCs/>
              </w:rPr>
              <w:t>NA</w:t>
            </w:r>
          </w:p>
        </w:tc>
        <w:tc>
          <w:tcPr>
            <w:tcW w:w="627" w:type="dxa"/>
          </w:tcPr>
          <w:p w:rsidR="00F6507D" w:rsidRDefault="00C14096" w:rsidP="002C208E">
            <w:pPr>
              <w:jc w:val="both"/>
              <w:rPr>
                <w:bCs/>
              </w:rPr>
            </w:pPr>
            <w:r>
              <w:rPr>
                <w:bCs/>
              </w:rPr>
              <w:t>R</w:t>
            </w:r>
          </w:p>
        </w:tc>
        <w:tc>
          <w:tcPr>
            <w:tcW w:w="627" w:type="dxa"/>
          </w:tcPr>
          <w:p w:rsidR="00F6507D" w:rsidRDefault="001C7CC3" w:rsidP="002C208E">
            <w:pPr>
              <w:jc w:val="both"/>
              <w:rPr>
                <w:bCs/>
              </w:rPr>
            </w:pPr>
            <w:r>
              <w:rPr>
                <w:bCs/>
              </w:rPr>
              <w:t>R</w:t>
            </w:r>
          </w:p>
        </w:tc>
        <w:tc>
          <w:tcPr>
            <w:tcW w:w="661" w:type="dxa"/>
          </w:tcPr>
          <w:p w:rsidR="00F6507D" w:rsidRDefault="006524AB" w:rsidP="002C208E">
            <w:pPr>
              <w:jc w:val="both"/>
              <w:rPr>
                <w:bCs/>
              </w:rPr>
            </w:pPr>
            <w:r>
              <w:rPr>
                <w:bCs/>
              </w:rPr>
              <w:t>P</w:t>
            </w:r>
          </w:p>
        </w:tc>
      </w:tr>
      <w:tr w:rsidR="00AC63CE" w:rsidTr="00F6507D">
        <w:tc>
          <w:tcPr>
            <w:tcW w:w="4663" w:type="dxa"/>
          </w:tcPr>
          <w:p w:rsidR="00F6507D" w:rsidRDefault="00F6507D" w:rsidP="002C208E">
            <w:pPr>
              <w:jc w:val="both"/>
              <w:rPr>
                <w:bCs/>
              </w:rPr>
            </w:pPr>
            <w:r>
              <w:rPr>
                <w:bCs/>
              </w:rPr>
              <w:t>Ashley Taylor, Senator</w:t>
            </w:r>
          </w:p>
        </w:tc>
        <w:tc>
          <w:tcPr>
            <w:tcW w:w="643" w:type="dxa"/>
          </w:tcPr>
          <w:p w:rsidR="00F6507D" w:rsidRDefault="00F6507D" w:rsidP="002C208E">
            <w:pPr>
              <w:jc w:val="both"/>
              <w:rPr>
                <w:bCs/>
              </w:rPr>
            </w:pPr>
            <w:r>
              <w:rPr>
                <w:bCs/>
              </w:rPr>
              <w:t>P</w:t>
            </w:r>
          </w:p>
        </w:tc>
        <w:tc>
          <w:tcPr>
            <w:tcW w:w="629" w:type="dxa"/>
          </w:tcPr>
          <w:p w:rsidR="00F6507D" w:rsidRPr="00801C10" w:rsidRDefault="00801C10" w:rsidP="002C208E">
            <w:pPr>
              <w:jc w:val="both"/>
              <w:rPr>
                <w:bCs/>
              </w:rPr>
            </w:pPr>
            <w:r w:rsidRPr="00801C10">
              <w:rPr>
                <w:bCs/>
              </w:rPr>
              <w:t>P</w:t>
            </w:r>
          </w:p>
        </w:tc>
        <w:tc>
          <w:tcPr>
            <w:tcW w:w="715" w:type="dxa"/>
          </w:tcPr>
          <w:p w:rsidR="00F6507D" w:rsidRDefault="00AC63CE" w:rsidP="002C208E">
            <w:pPr>
              <w:jc w:val="both"/>
              <w:rPr>
                <w:bCs/>
              </w:rPr>
            </w:pPr>
            <w:r>
              <w:rPr>
                <w:bCs/>
              </w:rPr>
              <w:t>P</w:t>
            </w:r>
          </w:p>
        </w:tc>
        <w:tc>
          <w:tcPr>
            <w:tcW w:w="643" w:type="dxa"/>
          </w:tcPr>
          <w:p w:rsidR="00F6507D" w:rsidRDefault="00AC63CE" w:rsidP="002C208E">
            <w:pPr>
              <w:jc w:val="both"/>
              <w:rPr>
                <w:bCs/>
              </w:rPr>
            </w:pPr>
            <w:r>
              <w:rPr>
                <w:bCs/>
              </w:rPr>
              <w:t>P</w:t>
            </w:r>
          </w:p>
        </w:tc>
        <w:tc>
          <w:tcPr>
            <w:tcW w:w="718" w:type="dxa"/>
          </w:tcPr>
          <w:p w:rsidR="00F6507D" w:rsidRDefault="00C14096" w:rsidP="002C208E">
            <w:pPr>
              <w:jc w:val="both"/>
              <w:rPr>
                <w:bCs/>
              </w:rPr>
            </w:pPr>
            <w:r>
              <w:rPr>
                <w:bCs/>
              </w:rPr>
              <w:t>P</w:t>
            </w:r>
          </w:p>
        </w:tc>
        <w:tc>
          <w:tcPr>
            <w:tcW w:w="627" w:type="dxa"/>
          </w:tcPr>
          <w:p w:rsidR="00F6507D" w:rsidRDefault="00C14096" w:rsidP="002C208E">
            <w:pPr>
              <w:jc w:val="both"/>
              <w:rPr>
                <w:bCs/>
              </w:rPr>
            </w:pPr>
            <w:r>
              <w:rPr>
                <w:bCs/>
              </w:rPr>
              <w:t>R</w:t>
            </w:r>
          </w:p>
        </w:tc>
        <w:tc>
          <w:tcPr>
            <w:tcW w:w="627" w:type="dxa"/>
          </w:tcPr>
          <w:p w:rsidR="00F6507D" w:rsidRDefault="001C7CC3" w:rsidP="002C208E">
            <w:pPr>
              <w:jc w:val="both"/>
              <w:rPr>
                <w:bCs/>
              </w:rPr>
            </w:pPr>
            <w:r>
              <w:rPr>
                <w:bCs/>
              </w:rPr>
              <w:t>P</w:t>
            </w:r>
          </w:p>
        </w:tc>
        <w:tc>
          <w:tcPr>
            <w:tcW w:w="661" w:type="dxa"/>
          </w:tcPr>
          <w:p w:rsidR="00F6507D" w:rsidRDefault="006524AB" w:rsidP="002C208E">
            <w:pPr>
              <w:jc w:val="both"/>
              <w:rPr>
                <w:bCs/>
              </w:rPr>
            </w:pPr>
            <w:r>
              <w:rPr>
                <w:bCs/>
              </w:rPr>
              <w:t>P</w:t>
            </w:r>
          </w:p>
        </w:tc>
      </w:tr>
      <w:tr w:rsidR="00F6507D" w:rsidTr="00F6507D">
        <w:tc>
          <w:tcPr>
            <w:tcW w:w="4663" w:type="dxa"/>
          </w:tcPr>
          <w:p w:rsidR="00F6507D" w:rsidRDefault="00F6507D" w:rsidP="002C208E">
            <w:pPr>
              <w:jc w:val="both"/>
              <w:rPr>
                <w:bCs/>
              </w:rPr>
            </w:pPr>
            <w:r>
              <w:rPr>
                <w:bCs/>
              </w:rPr>
              <w:t>Tom Toney, Senator, Vice-Chair</w:t>
            </w:r>
          </w:p>
        </w:tc>
        <w:tc>
          <w:tcPr>
            <w:tcW w:w="643" w:type="dxa"/>
          </w:tcPr>
          <w:p w:rsidR="00F6507D" w:rsidRDefault="00F6507D" w:rsidP="002C208E">
            <w:pPr>
              <w:jc w:val="both"/>
              <w:rPr>
                <w:bCs/>
              </w:rPr>
            </w:pPr>
            <w:r>
              <w:rPr>
                <w:bCs/>
              </w:rPr>
              <w:t>P</w:t>
            </w:r>
          </w:p>
        </w:tc>
        <w:tc>
          <w:tcPr>
            <w:tcW w:w="629" w:type="dxa"/>
          </w:tcPr>
          <w:p w:rsidR="00F6507D" w:rsidRPr="00801C10" w:rsidRDefault="00AC63CE" w:rsidP="002C208E">
            <w:pPr>
              <w:jc w:val="both"/>
              <w:rPr>
                <w:bCs/>
              </w:rPr>
            </w:pPr>
            <w:r w:rsidRPr="00801C10">
              <w:rPr>
                <w:bCs/>
              </w:rPr>
              <w:t>R</w:t>
            </w:r>
          </w:p>
        </w:tc>
        <w:tc>
          <w:tcPr>
            <w:tcW w:w="715" w:type="dxa"/>
          </w:tcPr>
          <w:p w:rsidR="00F6507D" w:rsidRDefault="00AC63CE" w:rsidP="002C208E">
            <w:pPr>
              <w:jc w:val="both"/>
              <w:rPr>
                <w:bCs/>
              </w:rPr>
            </w:pPr>
            <w:r>
              <w:rPr>
                <w:bCs/>
              </w:rPr>
              <w:t>R</w:t>
            </w:r>
          </w:p>
        </w:tc>
        <w:tc>
          <w:tcPr>
            <w:tcW w:w="643" w:type="dxa"/>
          </w:tcPr>
          <w:p w:rsidR="00F6507D" w:rsidRDefault="00AC63CE" w:rsidP="002C208E">
            <w:pPr>
              <w:jc w:val="both"/>
              <w:rPr>
                <w:bCs/>
              </w:rPr>
            </w:pPr>
            <w:r>
              <w:rPr>
                <w:bCs/>
              </w:rPr>
              <w:t>P</w:t>
            </w:r>
          </w:p>
        </w:tc>
        <w:tc>
          <w:tcPr>
            <w:tcW w:w="718" w:type="dxa"/>
          </w:tcPr>
          <w:p w:rsidR="00F6507D" w:rsidRDefault="00C14096" w:rsidP="002C208E">
            <w:pPr>
              <w:jc w:val="both"/>
              <w:rPr>
                <w:bCs/>
              </w:rPr>
            </w:pPr>
            <w:r>
              <w:rPr>
                <w:bCs/>
              </w:rPr>
              <w:t>P</w:t>
            </w:r>
          </w:p>
        </w:tc>
        <w:tc>
          <w:tcPr>
            <w:tcW w:w="627" w:type="dxa"/>
          </w:tcPr>
          <w:p w:rsidR="00F6507D" w:rsidRDefault="00C14096" w:rsidP="002C208E">
            <w:pPr>
              <w:jc w:val="both"/>
              <w:rPr>
                <w:bCs/>
              </w:rPr>
            </w:pPr>
            <w:r>
              <w:rPr>
                <w:bCs/>
              </w:rPr>
              <w:t>P</w:t>
            </w:r>
          </w:p>
        </w:tc>
        <w:tc>
          <w:tcPr>
            <w:tcW w:w="627" w:type="dxa"/>
          </w:tcPr>
          <w:p w:rsidR="00F6507D" w:rsidRDefault="001C7CC3" w:rsidP="002C208E">
            <w:pPr>
              <w:jc w:val="both"/>
              <w:rPr>
                <w:bCs/>
              </w:rPr>
            </w:pPr>
            <w:r>
              <w:rPr>
                <w:bCs/>
              </w:rPr>
              <w:t>P</w:t>
            </w:r>
          </w:p>
        </w:tc>
        <w:tc>
          <w:tcPr>
            <w:tcW w:w="661" w:type="dxa"/>
          </w:tcPr>
          <w:p w:rsidR="00F6507D" w:rsidRDefault="006524AB" w:rsidP="002C208E">
            <w:pPr>
              <w:jc w:val="both"/>
              <w:rPr>
                <w:bCs/>
              </w:rPr>
            </w:pPr>
            <w:r>
              <w:rPr>
                <w:bCs/>
              </w:rPr>
              <w:t>P</w:t>
            </w:r>
          </w:p>
        </w:tc>
      </w:tr>
    </w:tbl>
    <w:p w:rsidR="002C208E" w:rsidRDefault="002C208E" w:rsidP="002C208E">
      <w:pPr>
        <w:jc w:val="both"/>
        <w:rPr>
          <w:b/>
          <w:bCs/>
        </w:rPr>
      </w:pPr>
    </w:p>
    <w:p w:rsidR="00BE4327" w:rsidRPr="00BE4327" w:rsidRDefault="00865BBB" w:rsidP="002C208E">
      <w:pPr>
        <w:jc w:val="both"/>
      </w:pPr>
      <w:r w:rsidRPr="006B4473">
        <w:rPr>
          <w:b/>
          <w:bCs/>
        </w:rPr>
        <w:t>Motions brought to the Senate floor:</w:t>
      </w:r>
    </w:p>
    <w:p w:rsidR="00BE4327" w:rsidRDefault="00BE4327" w:rsidP="002C208E">
      <w:pPr>
        <w:jc w:val="both"/>
      </w:pPr>
      <w:r>
        <w:t>1617.FAPC.001.P Individual Faculty Report Deadline: To recommend the proposed Individual Faculty Report deadline in the supporting document entitled “Individual Faculty Report Deadline” as University Policy, and to endorse the guidelines, directions, and procedural recommendations therein. The faculty member completes the Individual Faculty Report (IFR) and submits it to the chairperson on January 21 [or the first business day following January 21 should January 21 be a Saturday or Sunday].</w:t>
      </w:r>
      <w:r w:rsidR="002C208E">
        <w:t xml:space="preserve"> </w:t>
      </w:r>
      <w:r>
        <w:t>While the Committee decided, in a vote of 5-4, on January 21 as the deadline to recommend to Senate, the Committee deliberated on other dates such as January 15 and January 31; and the Committee also discussed changing the chairperson’s annual scheduled conference with faculty members from May 1.</w:t>
      </w:r>
    </w:p>
    <w:p w:rsidR="001A22A1" w:rsidRDefault="001A22A1" w:rsidP="002C208E">
      <w:pPr>
        <w:jc w:val="both"/>
      </w:pPr>
      <w:r w:rsidRPr="00E24D5B">
        <w:rPr>
          <w:u w:val="single"/>
        </w:rPr>
        <w:t>Individual Faculty Report Deadline</w:t>
      </w:r>
      <w:r>
        <w:t xml:space="preserve">: Following up on a request for University Senate to weigh in on </w:t>
      </w:r>
      <w:r w:rsidRPr="00A17224">
        <w:t xml:space="preserve">Deans Council’s decision to shift the Individual Faculty Report Deadline to allow chairs more time to evaluate faculty in case of potential merit-based raises, </w:t>
      </w:r>
      <w:r>
        <w:t xml:space="preserve">in a 5-4 vote </w:t>
      </w:r>
      <w:r w:rsidRPr="00A17224">
        <w:t xml:space="preserve">the </w:t>
      </w:r>
      <w:r>
        <w:t xml:space="preserve">Committee </w:t>
      </w:r>
      <w:r w:rsidRPr="00A17224">
        <w:t>sent a motion to senate to move the faculty IFR deadline to January 21 from March 15 in order to give chairs extra time to do evaluations.</w:t>
      </w:r>
    </w:p>
    <w:p w:rsidR="002C208E" w:rsidRDefault="002C208E" w:rsidP="002C208E">
      <w:pPr>
        <w:jc w:val="both"/>
        <w:rPr>
          <w:u w:val="single"/>
        </w:rPr>
      </w:pPr>
    </w:p>
    <w:p w:rsidR="002C208E" w:rsidRDefault="00BE4327" w:rsidP="002C208E">
      <w:pPr>
        <w:jc w:val="both"/>
        <w:rPr>
          <w:b/>
          <w:bCs/>
        </w:rPr>
      </w:pPr>
      <w:r>
        <w:rPr>
          <w:iCs/>
        </w:rPr>
        <w:t xml:space="preserve">1617.FAPC.002.P Faculty Response to Tenure and Promotion Recommendations: </w:t>
      </w:r>
      <w:r>
        <w:t>To recommend the proposed Faculty Response to Tenure &amp; Promotion Recommendations in the supporting document entitled “Faculty Response to Tenure &amp; Promotion Recommendations” as University Policy, and to endorse the guidelines, directions, and procedural recommendations therein.</w:t>
      </w:r>
      <w:r w:rsidR="002C208E">
        <w:t xml:space="preserve"> </w:t>
      </w:r>
      <w:r>
        <w:t>The faculty member may respond to tenure or promotion recommendations by peer faculty, the Chairperson, the Dean, and the Provost by submitting to the next “line of authority” a written statement in support of his or her candidacy for tenure or promotion within ten (10) calendar days from receipt of such notice.</w:t>
      </w:r>
    </w:p>
    <w:p w:rsidR="00372539" w:rsidRDefault="00EB390D" w:rsidP="002C208E">
      <w:pPr>
        <w:jc w:val="both"/>
      </w:pPr>
      <w:r>
        <w:rPr>
          <w:u w:val="single"/>
        </w:rPr>
        <w:t>Promotion and Tenur</w:t>
      </w:r>
      <w:r w:rsidRPr="00EB390D">
        <w:rPr>
          <w:u w:val="single"/>
        </w:rPr>
        <w:t>e Irregularities</w:t>
      </w:r>
      <w:r>
        <w:t xml:space="preserve">: </w:t>
      </w:r>
      <w:r w:rsidRPr="00EB390D">
        <w:t>Following</w:t>
      </w:r>
      <w:r>
        <w:t xml:space="preserve"> up on a</w:t>
      </w:r>
      <w:r w:rsidRPr="0046425C">
        <w:t xml:space="preserve"> backhanded recommendation </w:t>
      </w:r>
      <w:r>
        <w:t xml:space="preserve">that </w:t>
      </w:r>
      <w:r w:rsidRPr="0046425C">
        <w:t xml:space="preserve">was discovered by the CoAS </w:t>
      </w:r>
      <w:r>
        <w:t>P&amp;</w:t>
      </w:r>
      <w:r w:rsidRPr="0046425C">
        <w:t>T</w:t>
      </w:r>
      <w:r>
        <w:t xml:space="preserve"> C</w:t>
      </w:r>
      <w:r w:rsidRPr="0046425C">
        <w:t>ommittee</w:t>
      </w:r>
      <w:r>
        <w:t xml:space="preserve"> that promotion and tenure policy prevented the candidate from responding to, the Committee made a policy recommendation for changing the promotion and tenure language from faculty members may respond “if a recommendation is made against” promotion and/or tenure to “The faculty member may respond within 10 days….”</w:t>
      </w:r>
      <w:r w:rsidR="00372539">
        <w:br w:type="page"/>
      </w:r>
    </w:p>
    <w:p w:rsidR="00865BBB" w:rsidRPr="006B4473" w:rsidRDefault="00865BBB" w:rsidP="002C208E">
      <w:pPr>
        <w:jc w:val="both"/>
      </w:pPr>
      <w:r w:rsidRPr="006B4473">
        <w:rPr>
          <w:b/>
          <w:bCs/>
        </w:rPr>
        <w:lastRenderedPageBreak/>
        <w:t>Other Significant Deliberation (Non-Motions):</w:t>
      </w:r>
    </w:p>
    <w:p w:rsidR="001A22A1" w:rsidRDefault="001A22A1" w:rsidP="002C208E">
      <w:pPr>
        <w:spacing w:before="240"/>
        <w:jc w:val="both"/>
      </w:pPr>
      <w:r w:rsidRPr="00906893">
        <w:rPr>
          <w:u w:val="single"/>
        </w:rPr>
        <w:t>Credentialing Services</w:t>
      </w:r>
      <w:r>
        <w:t>: Jason Wynn, Assistant Director of the International Center, walked the committee through the various types of international credential evaluating agencies and the evaluation process itself.</w:t>
      </w:r>
      <w:r w:rsidR="002C208E">
        <w:t xml:space="preserve"> </w:t>
      </w:r>
      <w:r>
        <w:t>The Committee tabled the credentialing services inquiry because most of our questions were answered.</w:t>
      </w:r>
    </w:p>
    <w:p w:rsidR="001A22A1" w:rsidRDefault="001A22A1" w:rsidP="002C208E">
      <w:pPr>
        <w:jc w:val="both"/>
      </w:pPr>
    </w:p>
    <w:p w:rsidR="001A22A1" w:rsidRDefault="001A22A1" w:rsidP="002C208E">
      <w:pPr>
        <w:jc w:val="both"/>
      </w:pPr>
      <w:r w:rsidRPr="00906893">
        <w:rPr>
          <w:u w:val="single"/>
        </w:rPr>
        <w:t>Provost’s Memo to Deans, Directors, and Chairs from February 2016</w:t>
      </w:r>
      <w:r>
        <w:t>: The Committee reached consensus that the memo is a clarification of how Dr. Kelli Brown intends to do business.</w:t>
      </w:r>
    </w:p>
    <w:p w:rsidR="001A22A1" w:rsidRDefault="001A22A1" w:rsidP="002C208E">
      <w:pPr>
        <w:spacing w:before="240"/>
        <w:jc w:val="both"/>
      </w:pPr>
      <w:r w:rsidRPr="00906893">
        <w:rPr>
          <w:u w:val="single"/>
        </w:rPr>
        <w:t xml:space="preserve">Faculty </w:t>
      </w:r>
      <w:r>
        <w:rPr>
          <w:u w:val="single"/>
        </w:rPr>
        <w:t>R</w:t>
      </w:r>
      <w:r w:rsidRPr="00906893">
        <w:rPr>
          <w:u w:val="single"/>
        </w:rPr>
        <w:t xml:space="preserve">ights and </w:t>
      </w:r>
      <w:r>
        <w:rPr>
          <w:u w:val="single"/>
        </w:rPr>
        <w:t>R</w:t>
      </w:r>
      <w:r w:rsidRPr="00906893">
        <w:rPr>
          <w:u w:val="single"/>
        </w:rPr>
        <w:t xml:space="preserve">esponsibilities while </w:t>
      </w:r>
      <w:r>
        <w:rPr>
          <w:u w:val="single"/>
        </w:rPr>
        <w:t>O</w:t>
      </w:r>
      <w:r w:rsidRPr="00906893">
        <w:rPr>
          <w:u w:val="single"/>
        </w:rPr>
        <w:t>ff-</w:t>
      </w:r>
      <w:r>
        <w:rPr>
          <w:u w:val="single"/>
        </w:rPr>
        <w:t>Contrac</w:t>
      </w:r>
      <w:r w:rsidRPr="00906893">
        <w:rPr>
          <w:u w:val="single"/>
        </w:rPr>
        <w:t>t</w:t>
      </w:r>
      <w:r>
        <w:t>: Following up on a concern regarding an election taking place during the summer, the Committee reminded the university community (in ECUS/SCC and University Senate) that shared governance should be done during the school year when possible.</w:t>
      </w:r>
    </w:p>
    <w:p w:rsidR="001A22A1" w:rsidRDefault="001A22A1" w:rsidP="002C208E">
      <w:pPr>
        <w:jc w:val="both"/>
      </w:pPr>
    </w:p>
    <w:p w:rsidR="001A22A1" w:rsidRDefault="001A22A1" w:rsidP="002C208E">
      <w:pPr>
        <w:jc w:val="both"/>
        <w:rPr>
          <w:i/>
        </w:rPr>
      </w:pPr>
      <w:r w:rsidRPr="00FA291F">
        <w:rPr>
          <w:u w:val="single"/>
        </w:rPr>
        <w:t>Student Opinion Surveys</w:t>
      </w:r>
      <w:r>
        <w:t>: Concerned with the 47 question length of the current instrument (Student Rating of Instruction Survey), the Committee requested the Provost’s Office to use the 23 question shorter survey form next academic year.</w:t>
      </w:r>
      <w:r w:rsidR="002C208E">
        <w:t xml:space="preserve"> </w:t>
      </w:r>
      <w:r>
        <w:t>Committee guest Dr. Cynthia Alby, Professor, College of Education, shared academic research demonstrating concerns about the limited value of student opinion surveys in evaluating teaching.</w:t>
      </w:r>
      <w:r w:rsidR="002C208E">
        <w:t xml:space="preserve"> </w:t>
      </w:r>
      <w:r>
        <w:t>She recommended moving from a paid instrum</w:t>
      </w:r>
      <w:r w:rsidR="00372539">
        <w:t>ent to an in-</w:t>
      </w:r>
      <w:r>
        <w:t>house instrument and using a range of other kinds of evidence for teaching evaluation, such as peer teaching evaluation.</w:t>
      </w:r>
      <w:r w:rsidR="002C208E">
        <w:t xml:space="preserve"> </w:t>
      </w:r>
      <w:r>
        <w:t>A Student Opinion Survey Work Group proposed the use of a short, simple student feedback form, as well as university-mandated use of class time for students to complete the survey. A concern was raised about using a survey that has not undergone thorough psychometric testing if it is used for personnel decisions.</w:t>
      </w:r>
      <w:r w:rsidR="002C208E">
        <w:t xml:space="preserve"> </w:t>
      </w:r>
      <w:r w:rsidRPr="00FA291F">
        <w:rPr>
          <w:i/>
        </w:rPr>
        <w:t>The 2017-2018 Committee will have to decide what to do with the work group recommendation.</w:t>
      </w:r>
    </w:p>
    <w:p w:rsidR="001A22A1" w:rsidRDefault="001A22A1" w:rsidP="002C208E">
      <w:pPr>
        <w:jc w:val="both"/>
      </w:pPr>
    </w:p>
    <w:p w:rsidR="00EB390D" w:rsidRDefault="001A22A1" w:rsidP="002C208E">
      <w:pPr>
        <w:jc w:val="both"/>
        <w:rPr>
          <w:i/>
        </w:rPr>
      </w:pPr>
      <w:r w:rsidRPr="00FA291F">
        <w:rPr>
          <w:u w:val="single"/>
        </w:rPr>
        <w:t>Peer Teaching Evaluation</w:t>
      </w:r>
      <w:r>
        <w:t>: A work group reviewed peer observation policy in other schools: when peer observations happen, who does them, how many are there, is there peer observation training, what are the evaluation guidelines.</w:t>
      </w:r>
      <w:r w:rsidR="002C208E">
        <w:t xml:space="preserve"> </w:t>
      </w:r>
      <w:r>
        <w:t>The Committee tentatively thought about the creation of a two-person peer teaching evaluation committee consisting of a department peers and an outside observer trained by CTL to perform either formative or evaluative observations.</w:t>
      </w:r>
      <w:r w:rsidR="002C208E">
        <w:t xml:space="preserve"> </w:t>
      </w:r>
      <w:r>
        <w:t>Guest Jeanne Sewell, Interim Director of the Center of Teaching and Learning, shared research on peer teaching evaluation and affirmed that the committee’s preliminary thoughts are a good model that are logistically possible given CTL resources.</w:t>
      </w:r>
      <w:r w:rsidR="002C208E">
        <w:t xml:space="preserve"> </w:t>
      </w:r>
      <w:r>
        <w:t>A Peer Teaching Evaluation Work Group proposed that GCSU begin a pilot program in which two people per college do training with CTL in the fall and then begin performing evaluations in the spring.</w:t>
      </w:r>
      <w:r w:rsidR="002C208E">
        <w:t xml:space="preserve"> </w:t>
      </w:r>
      <w:r>
        <w:t>There were quest</w:t>
      </w:r>
      <w:r w:rsidR="00372539">
        <w:t>ions about who would be evaluated</w:t>
      </w:r>
      <w:r>
        <w:t xml:space="preserve">, and there was disagreement regarding whether the pilot program evaluators have expertise in the fields being observed and/or be department members as well as whether there should be one or two member review teams. </w:t>
      </w:r>
      <w:r w:rsidRPr="00906893">
        <w:t>The Committee voted to postpone recommending the Pilot Program at this time in a vote of 6 to 3.</w:t>
      </w:r>
      <w:r w:rsidR="002C208E">
        <w:t xml:space="preserve"> </w:t>
      </w:r>
      <w:r w:rsidRPr="00FA291F">
        <w:rPr>
          <w:i/>
        </w:rPr>
        <w:t>The 2017-2018 Committee will have to decide what to do with the work group recommendation.</w:t>
      </w:r>
    </w:p>
    <w:p w:rsidR="00EB390D" w:rsidRDefault="00EB390D" w:rsidP="002C208E">
      <w:pPr>
        <w:spacing w:before="100" w:beforeAutospacing="1" w:after="100" w:afterAutospacing="1"/>
        <w:jc w:val="both"/>
      </w:pPr>
      <w:r w:rsidRPr="00E24D5B">
        <w:rPr>
          <w:u w:val="single"/>
        </w:rPr>
        <w:t>Promotion &amp; Tenure Irregularities</w:t>
      </w:r>
      <w:r>
        <w:t xml:space="preserve">: Following up on reports of candidates for promotion and/or tenure not receiving copies of their recommendations for or against promotion and/or tenure by chairpersons, P&amp;T committees, deans, etc., the Committee reminded administrators (in ECUS/SCC and University Senate) that </w:t>
      </w:r>
      <w:r w:rsidRPr="0046425C">
        <w:t>that copies of recommendations for and against promotion and tenure from chairpersons, deans, etc. should</w:t>
      </w:r>
      <w:r>
        <w:t xml:space="preserve"> be provided to faculty members.</w:t>
      </w:r>
    </w:p>
    <w:p w:rsidR="00EB390D" w:rsidRDefault="00EB390D" w:rsidP="002C208E">
      <w:pPr>
        <w:spacing w:line="259" w:lineRule="auto"/>
        <w:jc w:val="both"/>
        <w:rPr>
          <w:i/>
        </w:rPr>
      </w:pPr>
      <w:r w:rsidRPr="00A17224">
        <w:rPr>
          <w:u w:val="single"/>
        </w:rPr>
        <w:t>Evaluation of Administrators</w:t>
      </w:r>
      <w:r>
        <w:t xml:space="preserve">: Dr. Kelli Brown, Provost, talked with the Committee about the Five-Year Administrative Review process (shortening the year-long process to a spring timetable and using an </w:t>
      </w:r>
      <w:r>
        <w:lastRenderedPageBreak/>
        <w:t>external reviewing company).</w:t>
      </w:r>
      <w:r w:rsidR="002C208E">
        <w:t xml:space="preserve"> </w:t>
      </w:r>
      <w:r>
        <w:t>The Committee is interested in working with the Provost’s Office to revise the Five-Year Administrative Review policy. The Committee has questions about preserving the in-house Review Team, and it fully supports streamlining the time table, updating the way evaluations are gathered, and making the process less burdensome.</w:t>
      </w:r>
      <w:r w:rsidR="002C208E">
        <w:t xml:space="preserve"> </w:t>
      </w:r>
      <w:r>
        <w:rPr>
          <w:i/>
        </w:rPr>
        <w:t>The 2017-2018 Committee will continue to work with the Provost.</w:t>
      </w:r>
    </w:p>
    <w:p w:rsidR="00EB390D" w:rsidRDefault="00EB390D" w:rsidP="002C208E">
      <w:pPr>
        <w:jc w:val="both"/>
      </w:pPr>
    </w:p>
    <w:p w:rsidR="00EB390D" w:rsidRDefault="00EB390D" w:rsidP="002C208E">
      <w:pPr>
        <w:jc w:val="both"/>
      </w:pPr>
      <w:r w:rsidRPr="00FA291F">
        <w:rPr>
          <w:u w:val="single"/>
        </w:rPr>
        <w:t>Promotion &amp; Tenure Task Force</w:t>
      </w:r>
      <w:r>
        <w:t>: In the fall, Ryan Brown and David Johnson served on the Task Force; in the spring, Alex Blazer and David Johnson served on the Task Force.</w:t>
      </w:r>
      <w:r w:rsidR="002C208E">
        <w:t xml:space="preserve"> </w:t>
      </w:r>
      <w:r w:rsidR="00372539">
        <w:t>In the fall, open for</w:t>
      </w:r>
      <w:r>
        <w:t>a were held and a survey was circulated.</w:t>
      </w:r>
      <w:r w:rsidR="002C208E">
        <w:t xml:space="preserve"> </w:t>
      </w:r>
      <w:r>
        <w:t>Only a small fraction of faculty participated.</w:t>
      </w:r>
      <w:r w:rsidR="002C208E">
        <w:t xml:space="preserve"> </w:t>
      </w:r>
      <w:r>
        <w:t>In the spring, the task force met when both FAPC representatives were unavailable.</w:t>
      </w:r>
    </w:p>
    <w:p w:rsidR="002C208E" w:rsidRDefault="002C208E" w:rsidP="002C208E">
      <w:pPr>
        <w:jc w:val="both"/>
      </w:pPr>
    </w:p>
    <w:p w:rsidR="00865BBB" w:rsidRPr="006B4473" w:rsidRDefault="00865BBB" w:rsidP="002C208E">
      <w:pPr>
        <w:jc w:val="both"/>
      </w:pPr>
      <w:r w:rsidRPr="006B4473">
        <w:rPr>
          <w:b/>
          <w:bCs/>
        </w:rPr>
        <w:t>Ad hoc committees and other groups:</w:t>
      </w:r>
    </w:p>
    <w:p w:rsidR="00BE4327" w:rsidRDefault="00BE4327" w:rsidP="002C208E">
      <w:pPr>
        <w:jc w:val="both"/>
        <w:rPr>
          <w:i/>
          <w:iCs/>
        </w:rPr>
      </w:pPr>
    </w:p>
    <w:p w:rsidR="00BE4327" w:rsidRDefault="00BE4327" w:rsidP="002C208E">
      <w:pPr>
        <w:jc w:val="both"/>
        <w:rPr>
          <w:iCs/>
        </w:rPr>
      </w:pPr>
      <w:r>
        <w:rPr>
          <w:iCs/>
        </w:rPr>
        <w:t>SRIS and</w:t>
      </w:r>
      <w:r w:rsidR="002D3339">
        <w:rPr>
          <w:iCs/>
        </w:rPr>
        <w:t xml:space="preserve"> Peer Teaching Evaluation Work Group</w:t>
      </w:r>
      <w:r>
        <w:rPr>
          <w:iCs/>
        </w:rPr>
        <w:t xml:space="preserve">: Alex Blazer reviewed the SRIS instrument, asked Cara Smith if it was used for accreditation purposes, asked Cara Smith about other instruments that are used around the University System of Georgia, and asked </w:t>
      </w:r>
      <w:r w:rsidR="002D3339">
        <w:rPr>
          <w:iCs/>
        </w:rPr>
        <w:t>Dr. Lee Gill</w:t>
      </w:r>
      <w:r w:rsidR="00372539">
        <w:rPr>
          <w:iCs/>
        </w:rPr>
        <w:t>i</w:t>
      </w:r>
      <w:r w:rsidR="002D3339">
        <w:rPr>
          <w:iCs/>
        </w:rPr>
        <w:t>s and Dr. Indiren</w:t>
      </w:r>
      <w:r>
        <w:rPr>
          <w:iCs/>
        </w:rPr>
        <w:t xml:space="preserve"> P</w:t>
      </w:r>
      <w:r w:rsidR="002D3339">
        <w:rPr>
          <w:iCs/>
        </w:rPr>
        <w:t>illay about their previous research on finding an instrument.</w:t>
      </w:r>
      <w:r w:rsidR="002C208E">
        <w:rPr>
          <w:iCs/>
        </w:rPr>
        <w:t xml:space="preserve"> </w:t>
      </w:r>
      <w:r w:rsidR="002D3339">
        <w:rPr>
          <w:iCs/>
        </w:rPr>
        <w:t>He researched peer teaching policies and evaluation materials in our institution and other universities, noting when peer teaching evaluation occurred, how many peer teaching evaluations occurred, who performed peer teaching evaluation, what criteria and training occurred for peer teaching evaluation, and how peer teaching evaluation was used (i.e., for formative or evaluative purposes).</w:t>
      </w:r>
    </w:p>
    <w:p w:rsidR="002D3339" w:rsidRDefault="002D3339" w:rsidP="002C208E">
      <w:pPr>
        <w:jc w:val="both"/>
        <w:rPr>
          <w:iCs/>
        </w:rPr>
      </w:pPr>
    </w:p>
    <w:p w:rsidR="002D3339" w:rsidRPr="00650DDE" w:rsidRDefault="002D3339" w:rsidP="002C208E">
      <w:pPr>
        <w:jc w:val="both"/>
        <w:rPr>
          <w:i/>
          <w:iCs/>
        </w:rPr>
      </w:pPr>
      <w:r>
        <w:rPr>
          <w:iCs/>
        </w:rPr>
        <w:t>Student Opinion Survey Work Group: David Johnson and Patrick Simmons used Dr. Cynthia Alby’s research to propose an in-house Student Satisfaction Survey.</w:t>
      </w:r>
      <w:r w:rsidR="002C208E">
        <w:rPr>
          <w:iCs/>
        </w:rPr>
        <w:t xml:space="preserve"> </w:t>
      </w:r>
      <w:r w:rsidR="00650DDE">
        <w:rPr>
          <w:i/>
          <w:iCs/>
        </w:rPr>
        <w:t>The 2017-2018 Committee should decide what to do with the work group’s recommendation.</w:t>
      </w:r>
    </w:p>
    <w:p w:rsidR="002D3339" w:rsidRDefault="002D3339" w:rsidP="002C208E">
      <w:pPr>
        <w:jc w:val="both"/>
        <w:rPr>
          <w:iCs/>
        </w:rPr>
      </w:pPr>
    </w:p>
    <w:p w:rsidR="002D3339" w:rsidRPr="00650DDE" w:rsidRDefault="002D3339" w:rsidP="002C208E">
      <w:pPr>
        <w:jc w:val="both"/>
        <w:rPr>
          <w:iCs/>
        </w:rPr>
      </w:pPr>
      <w:r>
        <w:rPr>
          <w:iCs/>
        </w:rPr>
        <w:t xml:space="preserve">Peer Teaching Evaluation Work Group: </w:t>
      </w:r>
      <w:r w:rsidR="001C4D6B">
        <w:t>Monica Ketchie, Mary Jean Land, and Barb Roquemore proposed a peer teaching evaluation pilot program involving the training of two faculty from each college in the fall by the Center for Teaching and Learning and the evaluation of new faculty in the spring by the newly trained peer evaluators.</w:t>
      </w:r>
      <w:r w:rsidR="002C208E">
        <w:t xml:space="preserve"> </w:t>
      </w:r>
      <w:r w:rsidR="00650DDE">
        <w:rPr>
          <w:i/>
        </w:rPr>
        <w:t>The 2017-2018 Committee should decide what to do with the work group’s recommendation</w:t>
      </w:r>
      <w:r w:rsidR="00650DDE">
        <w:t>.</w:t>
      </w:r>
    </w:p>
    <w:p w:rsidR="002C208E" w:rsidRDefault="002C208E" w:rsidP="002C208E">
      <w:pPr>
        <w:jc w:val="both"/>
      </w:pPr>
    </w:p>
    <w:p w:rsidR="00865BBB" w:rsidRPr="006B4473" w:rsidRDefault="00865BBB" w:rsidP="002C208E">
      <w:pPr>
        <w:jc w:val="both"/>
      </w:pPr>
      <w:r w:rsidRPr="006B4473">
        <w:rPr>
          <w:b/>
          <w:bCs/>
        </w:rPr>
        <w:t>Committee Reflections:</w:t>
      </w:r>
    </w:p>
    <w:p w:rsidR="00801C10" w:rsidRDefault="00801C10" w:rsidP="002C208E">
      <w:pPr>
        <w:jc w:val="both"/>
      </w:pPr>
    </w:p>
    <w:p w:rsidR="00CE4FD9" w:rsidRDefault="004F7C65" w:rsidP="002C208E">
      <w:pPr>
        <w:jc w:val="both"/>
      </w:pPr>
      <w:r>
        <w:t xml:space="preserve">What worked well this year was the Committee’s ability to review existing policies, procedures, and practices for fairness, as in the cases of </w:t>
      </w:r>
      <w:r w:rsidR="00C67C2D">
        <w:t xml:space="preserve">faculty rights and responsibilities while off-contract, </w:t>
      </w:r>
      <w:r>
        <w:t>credentialing services</w:t>
      </w:r>
      <w:r w:rsidR="005E40EA">
        <w:t>, individual faculty report deadlines,</w:t>
      </w:r>
      <w:r>
        <w:t xml:space="preserve"> and tenure and promotion irregularities.</w:t>
      </w:r>
      <w:r w:rsidR="002C208E">
        <w:t xml:space="preserve"> </w:t>
      </w:r>
      <w:r>
        <w:t>The initial stages of the Committee’s research into student opinion surveys and peer teaching evaluation maintained this quality.</w:t>
      </w:r>
      <w:r w:rsidR="002C208E">
        <w:t xml:space="preserve"> </w:t>
      </w:r>
      <w:r>
        <w:t>What did not work as well was creating forward movement on debates and deliberations regarding faculty evaluation in the areas of student opinion surveys and peer teaching evaluation.</w:t>
      </w:r>
      <w:r w:rsidR="002C208E">
        <w:t xml:space="preserve"> </w:t>
      </w:r>
      <w:r>
        <w:t xml:space="preserve">While the Committee agrees that modification to surveys is necessary and peer teaching evaluation </w:t>
      </w:r>
      <w:r w:rsidR="00B54C60">
        <w:t xml:space="preserve">pilot program </w:t>
      </w:r>
      <w:r>
        <w:t xml:space="preserve">is </w:t>
      </w:r>
      <w:r w:rsidR="00B54C60">
        <w:t>a proper first step,</w:t>
      </w:r>
      <w:r>
        <w:t xml:space="preserve"> it is divided on how to change the surveys (create an in-house satisfaction survey or look for a new paid instrument)</w:t>
      </w:r>
      <w:r w:rsidR="00B54C60">
        <w:t xml:space="preserve"> and who should conduct the evaluations and who should be evaluated (two-person review teams or one-person review teams, department reviewers or outside reviewers, all new teachers or a subset of new teachers, etc.).</w:t>
      </w:r>
      <w:r w:rsidR="002C208E">
        <w:t xml:space="preserve"> </w:t>
      </w:r>
      <w:r w:rsidR="00DC1A2F">
        <w:t>Given the significance of these two issues, it is to the good that another committee will also debate the issues.</w:t>
      </w:r>
    </w:p>
    <w:p w:rsidR="00372539" w:rsidRDefault="00372539" w:rsidP="002C208E">
      <w:pPr>
        <w:jc w:val="both"/>
      </w:pPr>
      <w:r>
        <w:br w:type="page"/>
      </w:r>
    </w:p>
    <w:p w:rsidR="00865BBB" w:rsidRPr="006B4473" w:rsidRDefault="00865BBB" w:rsidP="002C208E">
      <w:pPr>
        <w:jc w:val="both"/>
      </w:pPr>
      <w:r w:rsidRPr="006B4473">
        <w:rPr>
          <w:b/>
          <w:bCs/>
        </w:rPr>
        <w:lastRenderedPageBreak/>
        <w:t>Committee Recommendations:</w:t>
      </w:r>
    </w:p>
    <w:p w:rsidR="00CE4FD9" w:rsidRDefault="00CE4FD9" w:rsidP="002C208E">
      <w:pPr>
        <w:jc w:val="both"/>
        <w:rPr>
          <w:iCs/>
        </w:rPr>
      </w:pPr>
    </w:p>
    <w:p w:rsidR="00A23ACE" w:rsidRDefault="00A23ACE" w:rsidP="002C208E">
      <w:pPr>
        <w:jc w:val="both"/>
        <w:rPr>
          <w:iCs/>
        </w:rPr>
      </w:pPr>
      <w:r w:rsidRPr="00A23ACE">
        <w:rPr>
          <w:iCs/>
        </w:rPr>
        <w:t>This year’s committee was unable to complete its work on Student Opinion Surveys and Peer Teaching Evaluation.</w:t>
      </w:r>
      <w:r w:rsidR="002C208E">
        <w:rPr>
          <w:iCs/>
        </w:rPr>
        <w:t xml:space="preserve"> </w:t>
      </w:r>
      <w:r w:rsidRPr="00A23ACE">
        <w:rPr>
          <w:iCs/>
        </w:rPr>
        <w:t>Although the Committee did recommend moving to a shorter SRIS survey next academic year, the Committee has not reached consensus on how to proceed with Student Opinion Surveys in the long-term.</w:t>
      </w:r>
      <w:r w:rsidR="002C208E">
        <w:rPr>
          <w:iCs/>
        </w:rPr>
        <w:t xml:space="preserve"> </w:t>
      </w:r>
      <w:r w:rsidRPr="00A23ACE">
        <w:rPr>
          <w:iCs/>
        </w:rPr>
        <w:t>The Work Group recommends adopting a short in-house Student Satisfaction Survey; next year’s committee must decide what to do with the recommendation.</w:t>
      </w:r>
      <w:r w:rsidR="002C208E">
        <w:rPr>
          <w:iCs/>
        </w:rPr>
        <w:t xml:space="preserve"> </w:t>
      </w:r>
      <w:r w:rsidRPr="00A23ACE">
        <w:rPr>
          <w:iCs/>
        </w:rPr>
        <w:t>Although the Committee deliberated Peer Teaching Evaluation research and policies, it did not reach consensus on what to do with the Work Group’s recommended pilot program; therefore, next year’s committee must continue the process.</w:t>
      </w:r>
      <w:r w:rsidR="002C208E">
        <w:rPr>
          <w:iCs/>
        </w:rPr>
        <w:t xml:space="preserve"> </w:t>
      </w:r>
      <w:r w:rsidR="0077583B">
        <w:rPr>
          <w:iCs/>
        </w:rPr>
        <w:t xml:space="preserve">Given the complexity of the </w:t>
      </w:r>
      <w:r w:rsidR="00161AC4">
        <w:rPr>
          <w:iCs/>
        </w:rPr>
        <w:t>issues, next year’s Committee may want to adopt more formal deliberative rules when discussing these topics.</w:t>
      </w:r>
    </w:p>
    <w:p w:rsidR="00CE4FD9" w:rsidRDefault="00CE4FD9" w:rsidP="002C208E">
      <w:pPr>
        <w:jc w:val="both"/>
        <w:rPr>
          <w:iCs/>
        </w:rPr>
      </w:pPr>
    </w:p>
    <w:p w:rsidR="00A830B8" w:rsidRDefault="00A830B8" w:rsidP="002C208E">
      <w:pPr>
        <w:jc w:val="both"/>
        <w:rPr>
          <w:iCs/>
          <w:highlight w:val="yellow"/>
        </w:rPr>
      </w:pPr>
      <w:r w:rsidRPr="00A830B8">
        <w:rPr>
          <w:iCs/>
        </w:rPr>
        <w:t xml:space="preserve">The </w:t>
      </w:r>
      <w:r w:rsidR="00CE4FD9">
        <w:rPr>
          <w:iCs/>
        </w:rPr>
        <w:t>Committee recommends that this year’s</w:t>
      </w:r>
      <w:r w:rsidRPr="00A830B8">
        <w:rPr>
          <w:iCs/>
        </w:rPr>
        <w:t xml:space="preserve"> Student Opinion Survey Work Group recommendation be debated during the following year.</w:t>
      </w:r>
      <w:r w:rsidR="002C208E">
        <w:rPr>
          <w:iCs/>
        </w:rPr>
        <w:t xml:space="preserve"> </w:t>
      </w:r>
      <w:r w:rsidRPr="00A830B8">
        <w:rPr>
          <w:iCs/>
        </w:rPr>
        <w:t>T</w:t>
      </w:r>
      <w:r w:rsidR="00CE4FD9">
        <w:rPr>
          <w:iCs/>
        </w:rPr>
        <w:t>he Committee recommends that this year’s</w:t>
      </w:r>
      <w:r w:rsidRPr="00A830B8">
        <w:rPr>
          <w:iCs/>
        </w:rPr>
        <w:t xml:space="preserve"> Peer Teaching Evaluation Work Group recommendation be debated during the following year.</w:t>
      </w:r>
      <w:r w:rsidR="002C208E">
        <w:rPr>
          <w:iCs/>
        </w:rPr>
        <w:t xml:space="preserve"> </w:t>
      </w:r>
      <w:r w:rsidR="00CE4FD9">
        <w:rPr>
          <w:iCs/>
        </w:rPr>
        <w:t xml:space="preserve">The Committee recommends that next year’s committee continue working with Dr. Brown on the Five-Year Review of Academic Administrators policy and be mindful about Review Teams which </w:t>
      </w:r>
      <w:r w:rsidR="00AF0FE3">
        <w:rPr>
          <w:iCs/>
        </w:rPr>
        <w:t>afford faculty representation in the evaluation process.</w:t>
      </w:r>
    </w:p>
    <w:p w:rsidR="00801C10" w:rsidRDefault="00801C10" w:rsidP="002C208E">
      <w:pPr>
        <w:jc w:val="both"/>
        <w:rPr>
          <w:b/>
          <w:bCs/>
        </w:rPr>
      </w:pPr>
    </w:p>
    <w:p w:rsidR="00801C10" w:rsidRDefault="00801C10" w:rsidP="002C208E">
      <w:pPr>
        <w:jc w:val="both"/>
        <w:rPr>
          <w:b/>
          <w:bCs/>
        </w:rPr>
      </w:pPr>
      <w:r>
        <w:rPr>
          <w:b/>
          <w:bCs/>
        </w:rPr>
        <w:t>Recommend items for consideration at the governance retreat:</w:t>
      </w:r>
    </w:p>
    <w:p w:rsidR="00801C10" w:rsidRPr="00801C10" w:rsidRDefault="00801C10" w:rsidP="002C208E">
      <w:pPr>
        <w:jc w:val="both"/>
        <w:rPr>
          <w:bCs/>
        </w:rPr>
      </w:pPr>
    </w:p>
    <w:p w:rsidR="00865BBB" w:rsidRDefault="00801C10" w:rsidP="002C208E">
      <w:pPr>
        <w:jc w:val="both"/>
        <w:rPr>
          <w:bCs/>
        </w:rPr>
      </w:pPr>
      <w:r>
        <w:rPr>
          <w:bCs/>
        </w:rPr>
        <w:t xml:space="preserve">Full Senate: </w:t>
      </w:r>
      <w:r w:rsidRPr="00801C10">
        <w:rPr>
          <w:bCs/>
        </w:rPr>
        <w:t>None</w:t>
      </w:r>
    </w:p>
    <w:p w:rsidR="00801C10" w:rsidRPr="00801C10" w:rsidRDefault="00801C10" w:rsidP="002C208E">
      <w:pPr>
        <w:jc w:val="both"/>
        <w:rPr>
          <w:bCs/>
        </w:rPr>
      </w:pPr>
      <w:r>
        <w:rPr>
          <w:bCs/>
        </w:rPr>
        <w:t>FAPC: In-House Student Satisfaction Survey and Peer Teaching Evaluation Pilot Program</w:t>
      </w:r>
    </w:p>
    <w:p w:rsidR="00A830B8" w:rsidRPr="006B4473" w:rsidRDefault="00A830B8" w:rsidP="002C208E">
      <w:pPr>
        <w:jc w:val="both"/>
      </w:pPr>
    </w:p>
    <w:p w:rsidR="00F22337" w:rsidRPr="006B4473" w:rsidRDefault="00F22337" w:rsidP="002C208E">
      <w:pPr>
        <w:jc w:val="both"/>
        <w:rPr>
          <w:b/>
          <w:bCs/>
        </w:rPr>
      </w:pPr>
      <w:r w:rsidRPr="006B4473">
        <w:rPr>
          <w:b/>
          <w:bCs/>
        </w:rPr>
        <w:t>Appendix: Committee Operating Procedures</w:t>
      </w:r>
    </w:p>
    <w:p w:rsidR="00F22337" w:rsidRPr="006B4473" w:rsidRDefault="00F22337" w:rsidP="002C208E">
      <w:pPr>
        <w:jc w:val="both"/>
        <w:rPr>
          <w:i/>
          <w:iCs/>
        </w:rPr>
      </w:pPr>
      <w:r w:rsidRPr="006B4473">
        <w:rPr>
          <w:i/>
          <w:iCs/>
        </w:rPr>
        <w:t>A summary of the standard operating procedures used to conduct business during the year.</w:t>
      </w:r>
    </w:p>
    <w:p w:rsidR="00B74BA1" w:rsidRPr="006B4473" w:rsidRDefault="00B74BA1" w:rsidP="002C208E">
      <w:pPr>
        <w:jc w:val="both"/>
      </w:pPr>
    </w:p>
    <w:p w:rsidR="00A830B8" w:rsidRDefault="00A830B8" w:rsidP="002C208E">
      <w:pPr>
        <w:spacing w:after="43" w:line="248" w:lineRule="auto"/>
        <w:jc w:val="both"/>
      </w:pPr>
      <w:r>
        <w:t>Faculty Affairs Policy Committee communicate openly and candidly with each other without judgment or repercussion.</w:t>
      </w:r>
      <w:r w:rsidR="002C208E">
        <w:t xml:space="preserve"> </w:t>
      </w:r>
      <w:r>
        <w:t>All FAPC members share responsibility to seek out and identify concerns of broad institutional impact within FAPC scope.</w:t>
      </w:r>
      <w:r w:rsidR="002C208E">
        <w:t xml:space="preserve"> </w:t>
      </w:r>
      <w:r>
        <w:t>The Chair, Vice-Chair, and Secretary follow duties outlined in University Senate bylaws; meeting minutes are circulated among members for review prior to posting in compliance with University Senate bylaws. Deliberation is informal until there is a motion for co</w:t>
      </w:r>
      <w:bookmarkStart w:id="0" w:name="_GoBack"/>
      <w:bookmarkEnd w:id="0"/>
      <w:r>
        <w:t>mmittee consideration in which case Robert’s Rules apply.</w:t>
      </w:r>
    </w:p>
    <w:sectPr w:rsidR="00A830B8"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94" w:rsidRDefault="006D4F94" w:rsidP="005844EC">
      <w:r>
        <w:separator/>
      </w:r>
    </w:p>
  </w:endnote>
  <w:endnote w:type="continuationSeparator" w:id="0">
    <w:p w:rsidR="006D4F94" w:rsidRDefault="006D4F94"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EC" w:rsidRPr="002C208E" w:rsidRDefault="002C208E" w:rsidP="005844EC">
    <w:pPr>
      <w:pStyle w:val="Footer"/>
      <w:tabs>
        <w:tab w:val="clear" w:pos="8640"/>
        <w:tab w:val="right" w:pos="9900"/>
      </w:tabs>
      <w:rPr>
        <w:i/>
        <w:sz w:val="20"/>
        <w:szCs w:val="20"/>
      </w:rPr>
    </w:pPr>
    <w:r w:rsidRPr="002C208E">
      <w:rPr>
        <w:rStyle w:val="PageNumber"/>
        <w:i/>
        <w:sz w:val="20"/>
        <w:szCs w:val="20"/>
      </w:rPr>
      <w:t>FAPC</w:t>
    </w:r>
    <w:r w:rsidR="005844EC" w:rsidRPr="002C208E">
      <w:rPr>
        <w:rStyle w:val="PageNumber"/>
        <w:i/>
        <w:sz w:val="20"/>
        <w:szCs w:val="20"/>
      </w:rPr>
      <w:t xml:space="preserve"> Annual Report 201</w:t>
    </w:r>
    <w:r w:rsidR="004E18CE" w:rsidRPr="002C208E">
      <w:rPr>
        <w:rStyle w:val="PageNumber"/>
        <w:i/>
        <w:sz w:val="20"/>
        <w:szCs w:val="20"/>
      </w:rPr>
      <w:t>6</w:t>
    </w:r>
    <w:r w:rsidR="005844EC" w:rsidRPr="002C208E">
      <w:rPr>
        <w:rStyle w:val="PageNumber"/>
        <w:i/>
        <w:sz w:val="20"/>
        <w:szCs w:val="20"/>
      </w:rPr>
      <w:t>-1</w:t>
    </w:r>
    <w:r w:rsidR="004E18CE" w:rsidRPr="002C208E">
      <w:rPr>
        <w:rStyle w:val="PageNumber"/>
        <w:i/>
        <w:sz w:val="20"/>
        <w:szCs w:val="20"/>
      </w:rPr>
      <w:t>7</w:t>
    </w:r>
    <w:r w:rsidR="005844EC" w:rsidRPr="002C208E">
      <w:rPr>
        <w:rStyle w:val="PageNumber"/>
        <w:i/>
        <w:sz w:val="20"/>
        <w:szCs w:val="20"/>
      </w:rPr>
      <w:tab/>
    </w:r>
    <w:r w:rsidR="005844EC" w:rsidRPr="002C208E">
      <w:rPr>
        <w:i/>
        <w:sz w:val="20"/>
        <w:szCs w:val="20"/>
      </w:rPr>
      <w:tab/>
      <w:t xml:space="preserve">Page </w:t>
    </w:r>
    <w:r w:rsidR="005844EC" w:rsidRPr="002C208E">
      <w:rPr>
        <w:i/>
        <w:sz w:val="20"/>
        <w:szCs w:val="20"/>
      </w:rPr>
      <w:fldChar w:fldCharType="begin"/>
    </w:r>
    <w:r w:rsidR="005844EC" w:rsidRPr="002C208E">
      <w:rPr>
        <w:i/>
        <w:sz w:val="20"/>
        <w:szCs w:val="20"/>
      </w:rPr>
      <w:instrText xml:space="preserve"> PAGE  \* Arabic  \* MERGEFORMAT </w:instrText>
    </w:r>
    <w:r w:rsidR="005844EC" w:rsidRPr="002C208E">
      <w:rPr>
        <w:i/>
        <w:sz w:val="20"/>
        <w:szCs w:val="20"/>
      </w:rPr>
      <w:fldChar w:fldCharType="separate"/>
    </w:r>
    <w:r w:rsidR="0042333D">
      <w:rPr>
        <w:i/>
        <w:noProof/>
        <w:sz w:val="20"/>
        <w:szCs w:val="20"/>
      </w:rPr>
      <w:t>5</w:t>
    </w:r>
    <w:r w:rsidR="005844EC" w:rsidRPr="002C208E">
      <w:rPr>
        <w:i/>
        <w:sz w:val="20"/>
        <w:szCs w:val="20"/>
      </w:rPr>
      <w:fldChar w:fldCharType="end"/>
    </w:r>
    <w:r w:rsidR="005844EC" w:rsidRPr="002C208E">
      <w:rPr>
        <w:i/>
        <w:sz w:val="20"/>
        <w:szCs w:val="20"/>
      </w:rPr>
      <w:t xml:space="preserve"> of </w:t>
    </w:r>
    <w:r w:rsidR="005844EC" w:rsidRPr="002C208E">
      <w:rPr>
        <w:i/>
        <w:sz w:val="20"/>
        <w:szCs w:val="20"/>
      </w:rPr>
      <w:fldChar w:fldCharType="begin"/>
    </w:r>
    <w:r w:rsidR="005844EC" w:rsidRPr="002C208E">
      <w:rPr>
        <w:i/>
        <w:sz w:val="20"/>
        <w:szCs w:val="20"/>
      </w:rPr>
      <w:instrText xml:space="preserve"> NUMPAGES  \* Arabic  \* MERGEFORMAT </w:instrText>
    </w:r>
    <w:r w:rsidR="005844EC" w:rsidRPr="002C208E">
      <w:rPr>
        <w:i/>
        <w:sz w:val="20"/>
        <w:szCs w:val="20"/>
      </w:rPr>
      <w:fldChar w:fldCharType="separate"/>
    </w:r>
    <w:r w:rsidR="0042333D">
      <w:rPr>
        <w:i/>
        <w:noProof/>
        <w:sz w:val="20"/>
        <w:szCs w:val="20"/>
      </w:rPr>
      <w:t>5</w:t>
    </w:r>
    <w:r w:rsidR="005844EC" w:rsidRPr="002C208E">
      <w:rPr>
        <w:i/>
        <w:sz w:val="20"/>
        <w:szCs w:val="20"/>
      </w:rPr>
      <w:fldChar w:fldCharType="end"/>
    </w:r>
  </w:p>
  <w:p w:rsidR="005844EC" w:rsidRPr="002C208E" w:rsidRDefault="005844EC">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94" w:rsidRDefault="006D4F94" w:rsidP="005844EC">
      <w:r>
        <w:separator/>
      </w:r>
    </w:p>
  </w:footnote>
  <w:footnote w:type="continuationSeparator" w:id="0">
    <w:p w:rsidR="006D4F94" w:rsidRDefault="006D4F94"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D40"/>
    <w:multiLevelType w:val="hybridMultilevel"/>
    <w:tmpl w:val="F9864452"/>
    <w:lvl w:ilvl="0" w:tplc="56B012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C3D8A">
      <w:start w:val="1"/>
      <w:numFmt w:val="bullet"/>
      <w:lvlText w:val="o"/>
      <w:lvlJc w:val="left"/>
      <w:pPr>
        <w:ind w:left="1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3A0A42">
      <w:start w:val="1"/>
      <w:numFmt w:val="bullet"/>
      <w:lvlText w:val="▪"/>
      <w:lvlJc w:val="left"/>
      <w:pPr>
        <w:ind w:left="1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2ADF7E">
      <w:start w:val="1"/>
      <w:numFmt w:val="bullet"/>
      <w:lvlText w:val="•"/>
      <w:lvlJc w:val="left"/>
      <w:pPr>
        <w:ind w:left="2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C0013A">
      <w:start w:val="1"/>
      <w:numFmt w:val="bullet"/>
      <w:lvlText w:val="o"/>
      <w:lvlJc w:val="left"/>
      <w:pPr>
        <w:ind w:left="3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D6B73E">
      <w:start w:val="1"/>
      <w:numFmt w:val="bullet"/>
      <w:lvlText w:val="▪"/>
      <w:lvlJc w:val="left"/>
      <w:pPr>
        <w:ind w:left="4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45C9E">
      <w:start w:val="1"/>
      <w:numFmt w:val="bullet"/>
      <w:lvlText w:val="•"/>
      <w:lvlJc w:val="left"/>
      <w:pPr>
        <w:ind w:left="4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8E6AE">
      <w:start w:val="1"/>
      <w:numFmt w:val="bullet"/>
      <w:lvlText w:val="o"/>
      <w:lvlJc w:val="left"/>
      <w:pPr>
        <w:ind w:left="5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C6CC6">
      <w:start w:val="1"/>
      <w:numFmt w:val="bullet"/>
      <w:lvlText w:val="▪"/>
      <w:lvlJc w:val="left"/>
      <w:pPr>
        <w:ind w:left="6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2400C4"/>
    <w:multiLevelType w:val="hybridMultilevel"/>
    <w:tmpl w:val="5E041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E3BF4"/>
    <w:multiLevelType w:val="hybridMultilevel"/>
    <w:tmpl w:val="5B98620A"/>
    <w:lvl w:ilvl="0" w:tplc="99DE88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08A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ED5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4266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84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7C41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CC0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2B7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3CED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E66A4D"/>
    <w:multiLevelType w:val="hybridMultilevel"/>
    <w:tmpl w:val="904EA45C"/>
    <w:lvl w:ilvl="0" w:tplc="DE38C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E3B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8C221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0240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FC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C2F8A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0586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8A60E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80D6B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86046"/>
    <w:rsid w:val="000E6430"/>
    <w:rsid w:val="00112766"/>
    <w:rsid w:val="00161AC4"/>
    <w:rsid w:val="0019463B"/>
    <w:rsid w:val="001A22A1"/>
    <w:rsid w:val="001C4D6B"/>
    <w:rsid w:val="001C7CC3"/>
    <w:rsid w:val="001D17C8"/>
    <w:rsid w:val="00221332"/>
    <w:rsid w:val="00236579"/>
    <w:rsid w:val="002C208E"/>
    <w:rsid w:val="002D3339"/>
    <w:rsid w:val="002F4D31"/>
    <w:rsid w:val="0032328E"/>
    <w:rsid w:val="00372539"/>
    <w:rsid w:val="003B08B7"/>
    <w:rsid w:val="003F0F9F"/>
    <w:rsid w:val="004163EB"/>
    <w:rsid w:val="0042333D"/>
    <w:rsid w:val="00474C6D"/>
    <w:rsid w:val="004C6AF3"/>
    <w:rsid w:val="004E18CE"/>
    <w:rsid w:val="004F7C65"/>
    <w:rsid w:val="00524470"/>
    <w:rsid w:val="005670E1"/>
    <w:rsid w:val="005818FD"/>
    <w:rsid w:val="005844EC"/>
    <w:rsid w:val="0059164C"/>
    <w:rsid w:val="00597D63"/>
    <w:rsid w:val="005B646E"/>
    <w:rsid w:val="005E40EA"/>
    <w:rsid w:val="0060072F"/>
    <w:rsid w:val="006161C2"/>
    <w:rsid w:val="00634D26"/>
    <w:rsid w:val="00650DDE"/>
    <w:rsid w:val="006524AB"/>
    <w:rsid w:val="006A5698"/>
    <w:rsid w:val="006B4473"/>
    <w:rsid w:val="006B68AB"/>
    <w:rsid w:val="006D4F94"/>
    <w:rsid w:val="006F58EC"/>
    <w:rsid w:val="0071470B"/>
    <w:rsid w:val="00730906"/>
    <w:rsid w:val="0077583B"/>
    <w:rsid w:val="00800A29"/>
    <w:rsid w:val="00801C10"/>
    <w:rsid w:val="00810BDF"/>
    <w:rsid w:val="00812246"/>
    <w:rsid w:val="00865BBB"/>
    <w:rsid w:val="00872E3E"/>
    <w:rsid w:val="00892390"/>
    <w:rsid w:val="008C63CE"/>
    <w:rsid w:val="00906893"/>
    <w:rsid w:val="00927C13"/>
    <w:rsid w:val="009620BE"/>
    <w:rsid w:val="00994005"/>
    <w:rsid w:val="00A01924"/>
    <w:rsid w:val="00A155F5"/>
    <w:rsid w:val="00A17224"/>
    <w:rsid w:val="00A23ACE"/>
    <w:rsid w:val="00A25DCD"/>
    <w:rsid w:val="00A6212C"/>
    <w:rsid w:val="00A74FF4"/>
    <w:rsid w:val="00A830B8"/>
    <w:rsid w:val="00AB4BF5"/>
    <w:rsid w:val="00AB55E0"/>
    <w:rsid w:val="00AC63CE"/>
    <w:rsid w:val="00AF0FE3"/>
    <w:rsid w:val="00B10379"/>
    <w:rsid w:val="00B229F6"/>
    <w:rsid w:val="00B42140"/>
    <w:rsid w:val="00B54C60"/>
    <w:rsid w:val="00B74BA1"/>
    <w:rsid w:val="00BB7094"/>
    <w:rsid w:val="00BE4327"/>
    <w:rsid w:val="00BF30FA"/>
    <w:rsid w:val="00C14096"/>
    <w:rsid w:val="00C67C2D"/>
    <w:rsid w:val="00C72903"/>
    <w:rsid w:val="00C97BF2"/>
    <w:rsid w:val="00CA004D"/>
    <w:rsid w:val="00CA1BCC"/>
    <w:rsid w:val="00CC12D0"/>
    <w:rsid w:val="00CE3973"/>
    <w:rsid w:val="00CE4FD9"/>
    <w:rsid w:val="00D455A2"/>
    <w:rsid w:val="00DC1A2F"/>
    <w:rsid w:val="00E10FCE"/>
    <w:rsid w:val="00E24D5B"/>
    <w:rsid w:val="00E36924"/>
    <w:rsid w:val="00E56140"/>
    <w:rsid w:val="00E57F19"/>
    <w:rsid w:val="00E65013"/>
    <w:rsid w:val="00E70A14"/>
    <w:rsid w:val="00E740E7"/>
    <w:rsid w:val="00E85F63"/>
    <w:rsid w:val="00EB390D"/>
    <w:rsid w:val="00F22337"/>
    <w:rsid w:val="00F23F30"/>
    <w:rsid w:val="00F6507D"/>
    <w:rsid w:val="00F758EC"/>
    <w:rsid w:val="00FA291F"/>
    <w:rsid w:val="00FE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DDDA49-430D-4C46-9FE0-F55977E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6B4473"/>
    <w:rPr>
      <w:b/>
      <w:bCs/>
    </w:rPr>
  </w:style>
  <w:style w:type="character" w:styleId="CommentReference">
    <w:name w:val="annotation reference"/>
    <w:basedOn w:val="DefaultParagraphFont"/>
    <w:semiHidden/>
    <w:unhideWhenUsed/>
    <w:rsid w:val="006B4473"/>
    <w:rPr>
      <w:sz w:val="16"/>
      <w:szCs w:val="16"/>
    </w:rPr>
  </w:style>
  <w:style w:type="paragraph" w:styleId="CommentText">
    <w:name w:val="annotation text"/>
    <w:basedOn w:val="Normal"/>
    <w:link w:val="CommentTextChar"/>
    <w:semiHidden/>
    <w:unhideWhenUsed/>
    <w:rsid w:val="006B4473"/>
    <w:rPr>
      <w:sz w:val="20"/>
      <w:szCs w:val="20"/>
    </w:rPr>
  </w:style>
  <w:style w:type="character" w:customStyle="1" w:styleId="CommentTextChar">
    <w:name w:val="Comment Text Char"/>
    <w:basedOn w:val="DefaultParagraphFont"/>
    <w:link w:val="CommentText"/>
    <w:semiHidden/>
    <w:rsid w:val="006B4473"/>
  </w:style>
  <w:style w:type="paragraph" w:styleId="CommentSubject">
    <w:name w:val="annotation subject"/>
    <w:basedOn w:val="CommentText"/>
    <w:next w:val="CommentText"/>
    <w:link w:val="CommentSubjectChar"/>
    <w:semiHidden/>
    <w:unhideWhenUsed/>
    <w:rsid w:val="006B4473"/>
    <w:rPr>
      <w:b/>
      <w:bCs/>
    </w:rPr>
  </w:style>
  <w:style w:type="character" w:customStyle="1" w:styleId="CommentSubjectChar">
    <w:name w:val="Comment Subject Char"/>
    <w:basedOn w:val="CommentTextChar"/>
    <w:link w:val="CommentSubject"/>
    <w:semiHidden/>
    <w:rsid w:val="006B4473"/>
    <w:rPr>
      <w:b/>
      <w:bCs/>
    </w:rPr>
  </w:style>
  <w:style w:type="paragraph" w:styleId="ListParagraph">
    <w:name w:val="List Paragraph"/>
    <w:basedOn w:val="Normal"/>
    <w:uiPriority w:val="34"/>
    <w:qFormat/>
    <w:rsid w:val="00A74FF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FE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15959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2014-01-24T22:01:00Z</cp:lastPrinted>
  <dcterms:created xsi:type="dcterms:W3CDTF">2017-05-22T11:56:00Z</dcterms:created>
  <dcterms:modified xsi:type="dcterms:W3CDTF">2017-05-22T11:56:00Z</dcterms:modified>
</cp:coreProperties>
</file>