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B" w:rsidRDefault="006A5698" w:rsidP="00865BBB">
      <w:pPr>
        <w:jc w:val="center"/>
      </w:pPr>
      <w:r>
        <w:rPr>
          <w:b/>
          <w:bCs/>
          <w:sz w:val="28"/>
          <w:szCs w:val="28"/>
        </w:rPr>
        <w:t xml:space="preserve">University </w:t>
      </w:r>
      <w:r w:rsidR="0071470B">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proofErr w:type="gramStart"/>
      <w:r w:rsidRPr="006A5698">
        <w:rPr>
          <w:b/>
          <w:bCs/>
          <w:sz w:val="20"/>
          <w:szCs w:val="20"/>
        </w:rPr>
        <w:t>no</w:t>
      </w:r>
      <w:proofErr w:type="gramEnd"/>
      <w:r w:rsidRPr="006A5698">
        <w:rPr>
          <w:b/>
          <w:bCs/>
          <w:sz w:val="20"/>
          <w:szCs w:val="20"/>
        </w:rPr>
        <w:t xml:space="preserve"> later than </w:t>
      </w:r>
      <w:r w:rsidR="00C81E77" w:rsidRPr="00C81E77">
        <w:rPr>
          <w:b/>
          <w:bCs/>
          <w:sz w:val="20"/>
          <w:szCs w:val="20"/>
        </w:rPr>
        <w:t xml:space="preserve">April </w:t>
      </w:r>
      <w:r w:rsidR="005A4641">
        <w:rPr>
          <w:b/>
          <w:bCs/>
          <w:sz w:val="20"/>
          <w:szCs w:val="20"/>
        </w:rPr>
        <w:t>30</w:t>
      </w:r>
      <w:r w:rsidR="00C81E77" w:rsidRPr="00C81E77">
        <w:rPr>
          <w:b/>
          <w:bCs/>
          <w:sz w:val="20"/>
          <w:szCs w:val="20"/>
        </w:rPr>
        <w:t xml:space="preserve">, </w:t>
      </w:r>
      <w:r w:rsidR="006A5698" w:rsidRPr="006A5698">
        <w:rPr>
          <w:b/>
          <w:bCs/>
          <w:sz w:val="20"/>
          <w:szCs w:val="20"/>
        </w:rPr>
        <w:t>201</w:t>
      </w:r>
      <w:r w:rsidR="005A4641">
        <w:rPr>
          <w:b/>
          <w:bCs/>
          <w:sz w:val="20"/>
          <w:szCs w:val="20"/>
        </w:rPr>
        <w:t>4</w:t>
      </w:r>
      <w:r w:rsidR="005844EC">
        <w:rPr>
          <w:b/>
          <w:bCs/>
          <w:sz w:val="20"/>
          <w:szCs w:val="20"/>
        </w:rPr>
        <w:t>.</w:t>
      </w:r>
    </w:p>
    <w:p w:rsidR="00865BBB" w:rsidRDefault="00865BBB" w:rsidP="00865BBB">
      <w:pPr>
        <w:jc w:val="center"/>
      </w:pPr>
    </w:p>
    <w:p w:rsidR="00865BBB" w:rsidRPr="008E6235" w:rsidRDefault="00865BBB" w:rsidP="00865BBB">
      <w:pPr>
        <w:rPr>
          <w:sz w:val="22"/>
          <w:szCs w:val="22"/>
        </w:rPr>
      </w:pPr>
      <w:r w:rsidRPr="008E6235">
        <w:rPr>
          <w:b/>
          <w:bCs/>
          <w:sz w:val="22"/>
          <w:szCs w:val="22"/>
        </w:rPr>
        <w:t>Committee Name:</w:t>
      </w:r>
      <w:r w:rsidR="00003CD4" w:rsidRPr="008E6235">
        <w:rPr>
          <w:b/>
          <w:bCs/>
          <w:sz w:val="22"/>
          <w:szCs w:val="22"/>
        </w:rPr>
        <w:t xml:space="preserve"> Subcommittee on </w:t>
      </w:r>
      <w:r w:rsidR="00600EC4" w:rsidRPr="008E6235">
        <w:rPr>
          <w:b/>
          <w:bCs/>
          <w:sz w:val="22"/>
          <w:szCs w:val="22"/>
        </w:rPr>
        <w:t xml:space="preserve">Core </w:t>
      </w:r>
      <w:r w:rsidR="00003CD4" w:rsidRPr="008E6235">
        <w:rPr>
          <w:b/>
          <w:bCs/>
          <w:sz w:val="22"/>
          <w:szCs w:val="22"/>
        </w:rPr>
        <w:t xml:space="preserve">Curriculum </w:t>
      </w:r>
    </w:p>
    <w:p w:rsidR="00865BBB" w:rsidRPr="008E6235" w:rsidRDefault="00865BBB" w:rsidP="00865BBB">
      <w:pPr>
        <w:rPr>
          <w:sz w:val="22"/>
          <w:szCs w:val="22"/>
        </w:rPr>
      </w:pPr>
      <w:r w:rsidRPr="008E6235">
        <w:rPr>
          <w:b/>
          <w:bCs/>
          <w:sz w:val="22"/>
          <w:szCs w:val="22"/>
        </w:rPr>
        <w:t> </w:t>
      </w:r>
    </w:p>
    <w:p w:rsidR="00865BBB" w:rsidRPr="008E6235" w:rsidRDefault="00865BBB" w:rsidP="00865BBB">
      <w:pPr>
        <w:rPr>
          <w:sz w:val="22"/>
          <w:szCs w:val="22"/>
        </w:rPr>
      </w:pPr>
      <w:r w:rsidRPr="008E6235">
        <w:rPr>
          <w:b/>
          <w:bCs/>
          <w:sz w:val="22"/>
          <w:szCs w:val="22"/>
        </w:rPr>
        <w:t>Academic Year:</w:t>
      </w:r>
      <w:r w:rsidR="00003CD4" w:rsidRPr="008E6235">
        <w:rPr>
          <w:b/>
          <w:bCs/>
          <w:sz w:val="22"/>
          <w:szCs w:val="22"/>
        </w:rPr>
        <w:t xml:space="preserve"> 201</w:t>
      </w:r>
      <w:r w:rsidR="0050455D">
        <w:rPr>
          <w:b/>
          <w:bCs/>
          <w:sz w:val="22"/>
          <w:szCs w:val="22"/>
        </w:rPr>
        <w:t>3</w:t>
      </w:r>
      <w:r w:rsidR="00003CD4" w:rsidRPr="008E6235">
        <w:rPr>
          <w:b/>
          <w:bCs/>
          <w:sz w:val="22"/>
          <w:szCs w:val="22"/>
        </w:rPr>
        <w:t>-201</w:t>
      </w:r>
      <w:r w:rsidR="0050455D">
        <w:rPr>
          <w:b/>
          <w:bCs/>
          <w:sz w:val="22"/>
          <w:szCs w:val="22"/>
        </w:rPr>
        <w:t>4</w:t>
      </w:r>
    </w:p>
    <w:p w:rsidR="00865BBB" w:rsidRPr="008E6235" w:rsidRDefault="00865BBB" w:rsidP="00865BBB">
      <w:pPr>
        <w:rPr>
          <w:sz w:val="22"/>
          <w:szCs w:val="22"/>
        </w:rPr>
      </w:pPr>
      <w:r w:rsidRPr="008E6235">
        <w:rPr>
          <w:b/>
          <w:bCs/>
          <w:sz w:val="22"/>
          <w:szCs w:val="22"/>
        </w:rPr>
        <w:t> </w:t>
      </w:r>
    </w:p>
    <w:p w:rsidR="00865BBB" w:rsidRPr="008E6235" w:rsidRDefault="00865BBB" w:rsidP="00865BBB">
      <w:pPr>
        <w:rPr>
          <w:sz w:val="22"/>
          <w:szCs w:val="22"/>
        </w:rPr>
      </w:pPr>
      <w:r w:rsidRPr="008E6235">
        <w:rPr>
          <w:b/>
          <w:bCs/>
          <w:sz w:val="22"/>
          <w:szCs w:val="22"/>
        </w:rPr>
        <w:t>Committee Charge:</w:t>
      </w:r>
    </w:p>
    <w:p w:rsidR="00865BBB" w:rsidRPr="008E6235" w:rsidRDefault="00600EC4" w:rsidP="00865BBB">
      <w:pPr>
        <w:rPr>
          <w:i/>
          <w:iCs/>
          <w:sz w:val="22"/>
          <w:szCs w:val="22"/>
        </w:rPr>
      </w:pPr>
      <w:r w:rsidRPr="008E6235">
        <w:rPr>
          <w:sz w:val="22"/>
          <w:szCs w:val="22"/>
        </w:rPr>
        <w:t>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t>
      </w:r>
    </w:p>
    <w:p w:rsidR="00865BBB" w:rsidRPr="008E6235" w:rsidRDefault="00865BBB" w:rsidP="00865BBB">
      <w:pPr>
        <w:rPr>
          <w:sz w:val="22"/>
          <w:szCs w:val="22"/>
        </w:rPr>
      </w:pPr>
      <w:r w:rsidRPr="008E6235">
        <w:rPr>
          <w:b/>
          <w:bCs/>
          <w:sz w:val="22"/>
          <w:szCs w:val="22"/>
        </w:rPr>
        <w:t> </w:t>
      </w:r>
    </w:p>
    <w:p w:rsidR="00865BBB" w:rsidRPr="008E6235" w:rsidRDefault="00865BBB" w:rsidP="00865BBB">
      <w:pPr>
        <w:rPr>
          <w:sz w:val="22"/>
          <w:szCs w:val="22"/>
        </w:rPr>
      </w:pPr>
      <w:r w:rsidRPr="008E6235">
        <w:rPr>
          <w:b/>
          <w:bCs/>
          <w:sz w:val="22"/>
          <w:szCs w:val="22"/>
        </w:rPr>
        <w:t>Committee Calendar:</w:t>
      </w:r>
    </w:p>
    <w:p w:rsidR="00003CD4" w:rsidRPr="008E6235" w:rsidRDefault="00003CD4" w:rsidP="00865BBB">
      <w:pPr>
        <w:rPr>
          <w:iCs/>
          <w:sz w:val="22"/>
          <w:szCs w:val="22"/>
        </w:rPr>
      </w:pPr>
      <w:r w:rsidRPr="008E6235">
        <w:rPr>
          <w:iCs/>
          <w:sz w:val="22"/>
          <w:szCs w:val="22"/>
        </w:rPr>
        <w:t>8/2</w:t>
      </w:r>
      <w:r w:rsidR="002E3AED">
        <w:rPr>
          <w:iCs/>
          <w:sz w:val="22"/>
          <w:szCs w:val="22"/>
        </w:rPr>
        <w:t>1</w:t>
      </w:r>
      <w:r w:rsidRPr="008E6235">
        <w:rPr>
          <w:iCs/>
          <w:sz w:val="22"/>
          <w:szCs w:val="22"/>
        </w:rPr>
        <w:t>/1</w:t>
      </w:r>
      <w:r w:rsidR="002E3AED">
        <w:rPr>
          <w:iCs/>
          <w:sz w:val="22"/>
          <w:szCs w:val="22"/>
        </w:rPr>
        <w:t>3</w:t>
      </w:r>
    </w:p>
    <w:p w:rsidR="002E3AED" w:rsidRDefault="002E3AED" w:rsidP="00865BBB">
      <w:pPr>
        <w:rPr>
          <w:iCs/>
          <w:sz w:val="22"/>
          <w:szCs w:val="22"/>
        </w:rPr>
      </w:pPr>
      <w:r>
        <w:rPr>
          <w:iCs/>
          <w:sz w:val="22"/>
          <w:szCs w:val="22"/>
        </w:rPr>
        <w:t>8/28/13</w:t>
      </w:r>
    </w:p>
    <w:p w:rsidR="00003CD4" w:rsidRPr="008E6235" w:rsidRDefault="00003CD4" w:rsidP="00865BBB">
      <w:pPr>
        <w:rPr>
          <w:iCs/>
          <w:sz w:val="22"/>
          <w:szCs w:val="22"/>
        </w:rPr>
      </w:pPr>
      <w:r w:rsidRPr="008E6235">
        <w:rPr>
          <w:iCs/>
          <w:sz w:val="22"/>
          <w:szCs w:val="22"/>
        </w:rPr>
        <w:t>9/</w:t>
      </w:r>
      <w:r w:rsidR="002E3AED">
        <w:rPr>
          <w:iCs/>
          <w:sz w:val="22"/>
          <w:szCs w:val="22"/>
        </w:rPr>
        <w:t>4</w:t>
      </w:r>
      <w:r w:rsidRPr="008E6235">
        <w:rPr>
          <w:iCs/>
          <w:sz w:val="22"/>
          <w:szCs w:val="22"/>
        </w:rPr>
        <w:t>/1</w:t>
      </w:r>
      <w:r w:rsidR="002E3AED">
        <w:rPr>
          <w:iCs/>
          <w:sz w:val="22"/>
          <w:szCs w:val="22"/>
        </w:rPr>
        <w:t>3</w:t>
      </w:r>
    </w:p>
    <w:p w:rsidR="00003CD4" w:rsidRPr="008E6235" w:rsidRDefault="00003CD4" w:rsidP="00865BBB">
      <w:pPr>
        <w:rPr>
          <w:iCs/>
          <w:sz w:val="22"/>
          <w:szCs w:val="22"/>
        </w:rPr>
      </w:pPr>
      <w:r w:rsidRPr="008E6235">
        <w:rPr>
          <w:iCs/>
          <w:sz w:val="22"/>
          <w:szCs w:val="22"/>
        </w:rPr>
        <w:t>9/1</w:t>
      </w:r>
      <w:r w:rsidR="002E3AED">
        <w:rPr>
          <w:iCs/>
          <w:sz w:val="22"/>
          <w:szCs w:val="22"/>
        </w:rPr>
        <w:t>1</w:t>
      </w:r>
      <w:r w:rsidRPr="008E6235">
        <w:rPr>
          <w:iCs/>
          <w:sz w:val="22"/>
          <w:szCs w:val="22"/>
        </w:rPr>
        <w:t>/1</w:t>
      </w:r>
      <w:r w:rsidR="002E3AED">
        <w:rPr>
          <w:iCs/>
          <w:sz w:val="22"/>
          <w:szCs w:val="22"/>
        </w:rPr>
        <w:t>3</w:t>
      </w:r>
    </w:p>
    <w:p w:rsidR="00600EC4" w:rsidRPr="008E6235" w:rsidRDefault="00600EC4" w:rsidP="00865BBB">
      <w:pPr>
        <w:rPr>
          <w:iCs/>
          <w:sz w:val="22"/>
          <w:szCs w:val="22"/>
        </w:rPr>
      </w:pPr>
      <w:r w:rsidRPr="008E6235">
        <w:rPr>
          <w:iCs/>
          <w:sz w:val="22"/>
          <w:szCs w:val="22"/>
        </w:rPr>
        <w:t>9/1</w:t>
      </w:r>
      <w:r w:rsidR="002E3AED">
        <w:rPr>
          <w:iCs/>
          <w:sz w:val="22"/>
          <w:szCs w:val="22"/>
        </w:rPr>
        <w:t>8</w:t>
      </w:r>
      <w:r w:rsidRPr="008E6235">
        <w:rPr>
          <w:iCs/>
          <w:sz w:val="22"/>
          <w:szCs w:val="22"/>
        </w:rPr>
        <w:t>/1</w:t>
      </w:r>
      <w:r w:rsidR="002E3AED">
        <w:rPr>
          <w:iCs/>
          <w:sz w:val="22"/>
          <w:szCs w:val="22"/>
        </w:rPr>
        <w:t>3</w:t>
      </w:r>
    </w:p>
    <w:p w:rsidR="00600EC4" w:rsidRPr="008E6235" w:rsidRDefault="00600EC4" w:rsidP="00865BBB">
      <w:pPr>
        <w:rPr>
          <w:iCs/>
          <w:sz w:val="22"/>
          <w:szCs w:val="22"/>
        </w:rPr>
      </w:pPr>
      <w:r w:rsidRPr="008E6235">
        <w:rPr>
          <w:iCs/>
          <w:sz w:val="22"/>
          <w:szCs w:val="22"/>
        </w:rPr>
        <w:t>10/</w:t>
      </w:r>
      <w:r w:rsidR="002E3AED">
        <w:rPr>
          <w:iCs/>
          <w:sz w:val="22"/>
          <w:szCs w:val="22"/>
        </w:rPr>
        <w:t>9</w:t>
      </w:r>
      <w:r w:rsidRPr="008E6235">
        <w:rPr>
          <w:iCs/>
          <w:sz w:val="22"/>
          <w:szCs w:val="22"/>
        </w:rPr>
        <w:t>/1</w:t>
      </w:r>
      <w:r w:rsidR="002E3AED">
        <w:rPr>
          <w:iCs/>
          <w:sz w:val="22"/>
          <w:szCs w:val="22"/>
        </w:rPr>
        <w:t>3</w:t>
      </w:r>
    </w:p>
    <w:p w:rsidR="00003CD4" w:rsidRPr="008E6235" w:rsidRDefault="00003CD4" w:rsidP="00865BBB">
      <w:pPr>
        <w:rPr>
          <w:iCs/>
          <w:sz w:val="22"/>
          <w:szCs w:val="22"/>
        </w:rPr>
      </w:pPr>
      <w:r w:rsidRPr="008E6235">
        <w:rPr>
          <w:iCs/>
          <w:sz w:val="22"/>
          <w:szCs w:val="22"/>
        </w:rPr>
        <w:t>10/1</w:t>
      </w:r>
      <w:r w:rsidR="002E3AED">
        <w:rPr>
          <w:iCs/>
          <w:sz w:val="22"/>
          <w:szCs w:val="22"/>
        </w:rPr>
        <w:t>6</w:t>
      </w:r>
      <w:r w:rsidRPr="008E6235">
        <w:rPr>
          <w:iCs/>
          <w:sz w:val="22"/>
          <w:szCs w:val="22"/>
        </w:rPr>
        <w:t>/1</w:t>
      </w:r>
      <w:r w:rsidR="002E3AED">
        <w:rPr>
          <w:iCs/>
          <w:sz w:val="22"/>
          <w:szCs w:val="22"/>
        </w:rPr>
        <w:t>3</w:t>
      </w:r>
    </w:p>
    <w:p w:rsidR="00003CD4" w:rsidRPr="008E6235" w:rsidRDefault="00003CD4" w:rsidP="00865BBB">
      <w:pPr>
        <w:rPr>
          <w:iCs/>
          <w:sz w:val="22"/>
          <w:szCs w:val="22"/>
        </w:rPr>
      </w:pPr>
      <w:r w:rsidRPr="008E6235">
        <w:rPr>
          <w:iCs/>
          <w:sz w:val="22"/>
          <w:szCs w:val="22"/>
        </w:rPr>
        <w:t>10/</w:t>
      </w:r>
      <w:r w:rsidR="002E3AED">
        <w:rPr>
          <w:iCs/>
          <w:sz w:val="22"/>
          <w:szCs w:val="22"/>
        </w:rPr>
        <w:t>23</w:t>
      </w:r>
      <w:r w:rsidRPr="008E6235">
        <w:rPr>
          <w:iCs/>
          <w:sz w:val="22"/>
          <w:szCs w:val="22"/>
        </w:rPr>
        <w:t>/1</w:t>
      </w:r>
      <w:r w:rsidR="002E3AED">
        <w:rPr>
          <w:iCs/>
          <w:sz w:val="22"/>
          <w:szCs w:val="22"/>
        </w:rPr>
        <w:t>3</w:t>
      </w:r>
    </w:p>
    <w:p w:rsidR="00003CD4" w:rsidRPr="008E6235" w:rsidRDefault="00003CD4" w:rsidP="00865BBB">
      <w:pPr>
        <w:rPr>
          <w:iCs/>
          <w:sz w:val="22"/>
          <w:szCs w:val="22"/>
        </w:rPr>
      </w:pPr>
      <w:r w:rsidRPr="008E6235">
        <w:rPr>
          <w:iCs/>
          <w:sz w:val="22"/>
          <w:szCs w:val="22"/>
        </w:rPr>
        <w:t>11/</w:t>
      </w:r>
      <w:r w:rsidR="002E3AED">
        <w:rPr>
          <w:iCs/>
          <w:sz w:val="22"/>
          <w:szCs w:val="22"/>
        </w:rPr>
        <w:t>6</w:t>
      </w:r>
      <w:r w:rsidRPr="008E6235">
        <w:rPr>
          <w:iCs/>
          <w:sz w:val="22"/>
          <w:szCs w:val="22"/>
        </w:rPr>
        <w:t>/1</w:t>
      </w:r>
      <w:r w:rsidR="002E3AED">
        <w:rPr>
          <w:iCs/>
          <w:sz w:val="22"/>
          <w:szCs w:val="22"/>
        </w:rPr>
        <w:t>3</w:t>
      </w:r>
    </w:p>
    <w:p w:rsidR="00003CD4" w:rsidRPr="008E6235" w:rsidRDefault="00003CD4" w:rsidP="00865BBB">
      <w:pPr>
        <w:rPr>
          <w:iCs/>
          <w:sz w:val="22"/>
          <w:szCs w:val="22"/>
        </w:rPr>
      </w:pPr>
      <w:r w:rsidRPr="008E6235">
        <w:rPr>
          <w:iCs/>
          <w:sz w:val="22"/>
          <w:szCs w:val="22"/>
        </w:rPr>
        <w:t>11/1</w:t>
      </w:r>
      <w:r w:rsidR="002E3AED">
        <w:rPr>
          <w:iCs/>
          <w:sz w:val="22"/>
          <w:szCs w:val="22"/>
        </w:rPr>
        <w:t>3</w:t>
      </w:r>
      <w:r w:rsidRPr="008E6235">
        <w:rPr>
          <w:iCs/>
          <w:sz w:val="22"/>
          <w:szCs w:val="22"/>
        </w:rPr>
        <w:t>/1</w:t>
      </w:r>
      <w:r w:rsidR="002E3AED">
        <w:rPr>
          <w:iCs/>
          <w:sz w:val="22"/>
          <w:szCs w:val="22"/>
        </w:rPr>
        <w:t>3</w:t>
      </w:r>
    </w:p>
    <w:p w:rsidR="00003CD4" w:rsidRPr="008E6235" w:rsidRDefault="00003CD4" w:rsidP="00865BBB">
      <w:pPr>
        <w:rPr>
          <w:iCs/>
          <w:sz w:val="22"/>
          <w:szCs w:val="22"/>
        </w:rPr>
      </w:pPr>
      <w:r w:rsidRPr="008E6235">
        <w:rPr>
          <w:iCs/>
          <w:sz w:val="22"/>
          <w:szCs w:val="22"/>
        </w:rPr>
        <w:t>11/2</w:t>
      </w:r>
      <w:r w:rsidR="002E3AED">
        <w:rPr>
          <w:iCs/>
          <w:sz w:val="22"/>
          <w:szCs w:val="22"/>
        </w:rPr>
        <w:t>0</w:t>
      </w:r>
      <w:r w:rsidRPr="008E6235">
        <w:rPr>
          <w:iCs/>
          <w:sz w:val="22"/>
          <w:szCs w:val="22"/>
        </w:rPr>
        <w:t>/1</w:t>
      </w:r>
      <w:r w:rsidR="002E3AED">
        <w:rPr>
          <w:iCs/>
          <w:sz w:val="22"/>
          <w:szCs w:val="22"/>
        </w:rPr>
        <w:t>3</w:t>
      </w:r>
    </w:p>
    <w:p w:rsidR="002E3AED" w:rsidRDefault="002E3AED" w:rsidP="00865BBB">
      <w:pPr>
        <w:rPr>
          <w:iCs/>
          <w:sz w:val="22"/>
          <w:szCs w:val="22"/>
        </w:rPr>
      </w:pPr>
      <w:r>
        <w:rPr>
          <w:iCs/>
          <w:sz w:val="22"/>
          <w:szCs w:val="22"/>
        </w:rPr>
        <w:t>12/4/13</w:t>
      </w:r>
    </w:p>
    <w:p w:rsidR="00003CD4" w:rsidRPr="008E6235" w:rsidRDefault="00003CD4" w:rsidP="00865BBB">
      <w:pPr>
        <w:rPr>
          <w:iCs/>
          <w:sz w:val="22"/>
          <w:szCs w:val="22"/>
        </w:rPr>
      </w:pPr>
      <w:r w:rsidRPr="008E6235">
        <w:rPr>
          <w:iCs/>
          <w:sz w:val="22"/>
          <w:szCs w:val="22"/>
        </w:rPr>
        <w:t>1/</w:t>
      </w:r>
      <w:r w:rsidR="002E3AED">
        <w:rPr>
          <w:iCs/>
          <w:sz w:val="22"/>
          <w:szCs w:val="22"/>
        </w:rPr>
        <w:t>22/</w:t>
      </w:r>
      <w:r w:rsidRPr="008E6235">
        <w:rPr>
          <w:iCs/>
          <w:sz w:val="22"/>
          <w:szCs w:val="22"/>
        </w:rPr>
        <w:t>1</w:t>
      </w:r>
      <w:r w:rsidR="002E3AED">
        <w:rPr>
          <w:iCs/>
          <w:sz w:val="22"/>
          <w:szCs w:val="22"/>
        </w:rPr>
        <w:t>4</w:t>
      </w:r>
    </w:p>
    <w:p w:rsidR="00003CD4" w:rsidRPr="008E6235" w:rsidRDefault="00003CD4" w:rsidP="00865BBB">
      <w:pPr>
        <w:rPr>
          <w:iCs/>
          <w:sz w:val="22"/>
          <w:szCs w:val="22"/>
        </w:rPr>
      </w:pPr>
      <w:r w:rsidRPr="008E6235">
        <w:rPr>
          <w:iCs/>
          <w:sz w:val="22"/>
          <w:szCs w:val="22"/>
        </w:rPr>
        <w:t>2/</w:t>
      </w:r>
      <w:r w:rsidR="002E3AED">
        <w:rPr>
          <w:iCs/>
          <w:sz w:val="22"/>
          <w:szCs w:val="22"/>
        </w:rPr>
        <w:t>5</w:t>
      </w:r>
      <w:r w:rsidRPr="008E6235">
        <w:rPr>
          <w:iCs/>
          <w:sz w:val="22"/>
          <w:szCs w:val="22"/>
        </w:rPr>
        <w:t>/1</w:t>
      </w:r>
      <w:r w:rsidR="002E3AED">
        <w:rPr>
          <w:iCs/>
          <w:sz w:val="22"/>
          <w:szCs w:val="22"/>
        </w:rPr>
        <w:t>4</w:t>
      </w:r>
    </w:p>
    <w:p w:rsidR="00003CD4" w:rsidRPr="008E6235" w:rsidRDefault="00003CD4" w:rsidP="00865BBB">
      <w:pPr>
        <w:rPr>
          <w:iCs/>
          <w:sz w:val="22"/>
          <w:szCs w:val="22"/>
        </w:rPr>
      </w:pPr>
      <w:r w:rsidRPr="008E6235">
        <w:rPr>
          <w:iCs/>
          <w:sz w:val="22"/>
          <w:szCs w:val="22"/>
        </w:rPr>
        <w:t>2/1</w:t>
      </w:r>
      <w:r w:rsidR="002E3AED">
        <w:rPr>
          <w:iCs/>
          <w:sz w:val="22"/>
          <w:szCs w:val="22"/>
        </w:rPr>
        <w:t>9</w:t>
      </w:r>
      <w:r w:rsidRPr="008E6235">
        <w:rPr>
          <w:iCs/>
          <w:sz w:val="22"/>
          <w:szCs w:val="22"/>
        </w:rPr>
        <w:t>/1</w:t>
      </w:r>
      <w:r w:rsidR="002E3AED">
        <w:rPr>
          <w:iCs/>
          <w:sz w:val="22"/>
          <w:szCs w:val="22"/>
        </w:rPr>
        <w:t>4</w:t>
      </w:r>
    </w:p>
    <w:p w:rsidR="00003CD4" w:rsidRPr="008E6235" w:rsidRDefault="00003CD4" w:rsidP="00865BBB">
      <w:pPr>
        <w:rPr>
          <w:iCs/>
          <w:sz w:val="22"/>
          <w:szCs w:val="22"/>
        </w:rPr>
      </w:pPr>
      <w:r w:rsidRPr="008E6235">
        <w:rPr>
          <w:iCs/>
          <w:sz w:val="22"/>
          <w:szCs w:val="22"/>
        </w:rPr>
        <w:t>2/</w:t>
      </w:r>
      <w:r w:rsidR="002E3AED">
        <w:rPr>
          <w:iCs/>
          <w:sz w:val="22"/>
          <w:szCs w:val="22"/>
        </w:rPr>
        <w:t>26</w:t>
      </w:r>
      <w:r w:rsidRPr="008E6235">
        <w:rPr>
          <w:iCs/>
          <w:sz w:val="22"/>
          <w:szCs w:val="22"/>
        </w:rPr>
        <w:t>/1</w:t>
      </w:r>
      <w:r w:rsidR="002E3AED">
        <w:rPr>
          <w:iCs/>
          <w:sz w:val="22"/>
          <w:szCs w:val="22"/>
        </w:rPr>
        <w:t>4</w:t>
      </w:r>
    </w:p>
    <w:p w:rsidR="00003CD4" w:rsidRPr="008E6235" w:rsidRDefault="00003CD4" w:rsidP="00865BBB">
      <w:pPr>
        <w:rPr>
          <w:iCs/>
          <w:sz w:val="22"/>
          <w:szCs w:val="22"/>
        </w:rPr>
      </w:pPr>
      <w:r w:rsidRPr="008E6235">
        <w:rPr>
          <w:iCs/>
          <w:sz w:val="22"/>
          <w:szCs w:val="22"/>
        </w:rPr>
        <w:t>3/1</w:t>
      </w:r>
      <w:r w:rsidR="002E3AED">
        <w:rPr>
          <w:iCs/>
          <w:sz w:val="22"/>
          <w:szCs w:val="22"/>
        </w:rPr>
        <w:t>2</w:t>
      </w:r>
      <w:r w:rsidRPr="008E6235">
        <w:rPr>
          <w:iCs/>
          <w:sz w:val="22"/>
          <w:szCs w:val="22"/>
        </w:rPr>
        <w:t>/1</w:t>
      </w:r>
      <w:r w:rsidR="002E3AED">
        <w:rPr>
          <w:iCs/>
          <w:sz w:val="22"/>
          <w:szCs w:val="22"/>
        </w:rPr>
        <w:t>4</w:t>
      </w:r>
    </w:p>
    <w:p w:rsidR="00003CD4" w:rsidRPr="008E6235" w:rsidRDefault="00003CD4" w:rsidP="00865BBB">
      <w:pPr>
        <w:rPr>
          <w:iCs/>
          <w:sz w:val="22"/>
          <w:szCs w:val="22"/>
        </w:rPr>
      </w:pPr>
      <w:r w:rsidRPr="008E6235">
        <w:rPr>
          <w:iCs/>
          <w:sz w:val="22"/>
          <w:szCs w:val="22"/>
        </w:rPr>
        <w:t>4/</w:t>
      </w:r>
      <w:r w:rsidR="0027078F">
        <w:rPr>
          <w:iCs/>
          <w:sz w:val="22"/>
          <w:szCs w:val="22"/>
        </w:rPr>
        <w:t>2</w:t>
      </w:r>
      <w:r w:rsidRPr="008E6235">
        <w:rPr>
          <w:iCs/>
          <w:sz w:val="22"/>
          <w:szCs w:val="22"/>
        </w:rPr>
        <w:t>/1</w:t>
      </w:r>
      <w:r w:rsidR="0027078F">
        <w:rPr>
          <w:iCs/>
          <w:sz w:val="22"/>
          <w:szCs w:val="22"/>
        </w:rPr>
        <w:t>4</w:t>
      </w:r>
    </w:p>
    <w:p w:rsidR="00003CD4" w:rsidRPr="008E6235" w:rsidRDefault="00003CD4" w:rsidP="00865BBB">
      <w:pPr>
        <w:rPr>
          <w:iCs/>
          <w:sz w:val="22"/>
          <w:szCs w:val="22"/>
        </w:rPr>
      </w:pPr>
      <w:r w:rsidRPr="008E6235">
        <w:rPr>
          <w:iCs/>
          <w:sz w:val="22"/>
          <w:szCs w:val="22"/>
        </w:rPr>
        <w:t>4/1</w:t>
      </w:r>
      <w:r w:rsidR="0027078F">
        <w:rPr>
          <w:iCs/>
          <w:sz w:val="22"/>
          <w:szCs w:val="22"/>
        </w:rPr>
        <w:t>6</w:t>
      </w:r>
      <w:r w:rsidRPr="008E6235">
        <w:rPr>
          <w:iCs/>
          <w:sz w:val="22"/>
          <w:szCs w:val="22"/>
        </w:rPr>
        <w:t>/1</w:t>
      </w:r>
      <w:r w:rsidR="0027078F">
        <w:rPr>
          <w:iCs/>
          <w:sz w:val="22"/>
          <w:szCs w:val="22"/>
        </w:rPr>
        <w:t>4</w:t>
      </w:r>
    </w:p>
    <w:p w:rsidR="00003CD4" w:rsidRPr="008E6235" w:rsidRDefault="00003CD4" w:rsidP="00865BBB">
      <w:pPr>
        <w:rPr>
          <w:iCs/>
          <w:sz w:val="22"/>
          <w:szCs w:val="22"/>
        </w:rPr>
      </w:pPr>
      <w:r w:rsidRPr="008E6235">
        <w:rPr>
          <w:iCs/>
          <w:sz w:val="22"/>
          <w:szCs w:val="22"/>
        </w:rPr>
        <w:t>4/23/1</w:t>
      </w:r>
      <w:r w:rsidR="0027078F">
        <w:rPr>
          <w:iCs/>
          <w:sz w:val="22"/>
          <w:szCs w:val="22"/>
        </w:rPr>
        <w:t>4</w:t>
      </w:r>
    </w:p>
    <w:p w:rsidR="00003CD4" w:rsidRPr="008E6235" w:rsidRDefault="00003CD4" w:rsidP="00865BBB">
      <w:pPr>
        <w:rPr>
          <w:iCs/>
          <w:sz w:val="22"/>
          <w:szCs w:val="22"/>
        </w:rPr>
      </w:pPr>
    </w:p>
    <w:p w:rsidR="00865BBB" w:rsidRPr="008E6235" w:rsidRDefault="00865BBB" w:rsidP="00865BBB">
      <w:pPr>
        <w:rPr>
          <w:sz w:val="22"/>
          <w:szCs w:val="22"/>
        </w:rPr>
      </w:pPr>
      <w:r w:rsidRPr="008E6235">
        <w:rPr>
          <w:b/>
          <w:bCs/>
          <w:sz w:val="22"/>
          <w:szCs w:val="22"/>
        </w:rPr>
        <w:t> </w:t>
      </w:r>
    </w:p>
    <w:p w:rsidR="00865BBB" w:rsidRPr="008E6235" w:rsidRDefault="00865BBB" w:rsidP="00865BBB">
      <w:pPr>
        <w:rPr>
          <w:sz w:val="22"/>
          <w:szCs w:val="22"/>
        </w:rPr>
      </w:pPr>
      <w:r w:rsidRPr="008E6235">
        <w:rPr>
          <w:b/>
          <w:bCs/>
          <w:sz w:val="22"/>
          <w:szCs w:val="22"/>
        </w:rPr>
        <w:t>Executive Summary</w:t>
      </w:r>
      <w:r w:rsidRPr="008E6235">
        <w:rPr>
          <w:sz w:val="22"/>
          <w:szCs w:val="22"/>
        </w:rPr>
        <w:t>:</w:t>
      </w:r>
    </w:p>
    <w:p w:rsidR="00003CD4" w:rsidRPr="008E6235" w:rsidRDefault="00003CD4" w:rsidP="00865BBB">
      <w:pPr>
        <w:rPr>
          <w:sz w:val="22"/>
          <w:szCs w:val="22"/>
        </w:rPr>
      </w:pPr>
      <w:r w:rsidRPr="008E6235">
        <w:rPr>
          <w:sz w:val="22"/>
          <w:szCs w:val="22"/>
        </w:rPr>
        <w:t>SoCC focused on three things:</w:t>
      </w:r>
    </w:p>
    <w:p w:rsidR="00003CD4" w:rsidRPr="008E6235" w:rsidRDefault="00003CD4" w:rsidP="00865BBB">
      <w:pPr>
        <w:rPr>
          <w:sz w:val="22"/>
          <w:szCs w:val="22"/>
        </w:rPr>
      </w:pPr>
      <w:r w:rsidRPr="008E6235">
        <w:rPr>
          <w:sz w:val="22"/>
          <w:szCs w:val="22"/>
        </w:rPr>
        <w:t>Review: new sections of the GC1Y and GC2Y courses, Global Perspective overlay proposals, and courses to be added to the core.</w:t>
      </w:r>
    </w:p>
    <w:p w:rsidR="00003CD4" w:rsidRPr="008E6235" w:rsidRDefault="00003CD4" w:rsidP="00865BBB">
      <w:pPr>
        <w:rPr>
          <w:sz w:val="22"/>
          <w:szCs w:val="22"/>
        </w:rPr>
      </w:pPr>
      <w:r w:rsidRPr="008E6235">
        <w:rPr>
          <w:sz w:val="22"/>
          <w:szCs w:val="22"/>
        </w:rPr>
        <w:t>Assessment: Assist in the assessment of core courses and to make recommendations to the GCSU assessment team.</w:t>
      </w:r>
    </w:p>
    <w:p w:rsidR="00003CD4" w:rsidRPr="008E6235" w:rsidRDefault="00003CD4" w:rsidP="00865BBB">
      <w:pPr>
        <w:rPr>
          <w:sz w:val="22"/>
          <w:szCs w:val="22"/>
        </w:rPr>
      </w:pPr>
      <w:r w:rsidRPr="008E6235">
        <w:rPr>
          <w:sz w:val="22"/>
          <w:szCs w:val="22"/>
        </w:rPr>
        <w:t>Recommend: Recommend changes to policy and procedures to both the University Senate and the Provost’s office regarding the core.</w:t>
      </w:r>
    </w:p>
    <w:p w:rsidR="00003CD4" w:rsidRPr="008E6235" w:rsidRDefault="00003CD4" w:rsidP="00865BBB">
      <w:pPr>
        <w:rPr>
          <w:sz w:val="22"/>
          <w:szCs w:val="22"/>
        </w:rPr>
      </w:pPr>
    </w:p>
    <w:p w:rsidR="009955E7" w:rsidRPr="008E6235" w:rsidRDefault="005A4641" w:rsidP="00865BBB">
      <w:pPr>
        <w:rPr>
          <w:sz w:val="22"/>
          <w:szCs w:val="22"/>
        </w:rPr>
      </w:pPr>
      <w:r>
        <w:rPr>
          <w:sz w:val="22"/>
          <w:szCs w:val="22"/>
        </w:rPr>
        <w:t xml:space="preserve">This year there were many fewer submissions of </w:t>
      </w:r>
      <w:r w:rsidR="009955E7" w:rsidRPr="008E6235">
        <w:rPr>
          <w:sz w:val="22"/>
          <w:szCs w:val="22"/>
        </w:rPr>
        <w:t>GC1Y and GC2</w:t>
      </w:r>
      <w:r>
        <w:rPr>
          <w:sz w:val="22"/>
          <w:szCs w:val="22"/>
        </w:rPr>
        <w:t>Y</w:t>
      </w:r>
      <w:r w:rsidR="009955E7" w:rsidRPr="008E6235">
        <w:rPr>
          <w:sz w:val="22"/>
          <w:szCs w:val="22"/>
        </w:rPr>
        <w:t xml:space="preserve"> Sections</w:t>
      </w:r>
      <w:r>
        <w:rPr>
          <w:sz w:val="22"/>
          <w:szCs w:val="22"/>
        </w:rPr>
        <w:t xml:space="preserve"> for review than in years past.  There were, however, a lot more Global Perspectives Overlay proposals for review.  We spent considerable time reviewing and revising the original submission forms.  Also, the committee (mostly Amy </w:t>
      </w:r>
      <w:proofErr w:type="spellStart"/>
      <w:r>
        <w:rPr>
          <w:sz w:val="22"/>
          <w:szCs w:val="22"/>
        </w:rPr>
        <w:t>Sumpter</w:t>
      </w:r>
      <w:proofErr w:type="spellEnd"/>
      <w:r>
        <w:rPr>
          <w:sz w:val="22"/>
          <w:szCs w:val="22"/>
        </w:rPr>
        <w:t xml:space="preserve">) developed a D2L course that all faculty can access to store all submissions.  This development should make future applications easier to put together.  </w:t>
      </w:r>
      <w:r w:rsidR="002C5E22">
        <w:rPr>
          <w:sz w:val="22"/>
          <w:szCs w:val="22"/>
        </w:rPr>
        <w:t>Finally, the Subcommittee spent considerable time and energy revising the makeup of the Subcommittee and getting the changes through Senate</w:t>
      </w:r>
      <w:r w:rsidR="009A0D4E">
        <w:rPr>
          <w:sz w:val="22"/>
          <w:szCs w:val="22"/>
        </w:rPr>
        <w:t xml:space="preserve">.  </w:t>
      </w:r>
    </w:p>
    <w:p w:rsidR="009955E7" w:rsidRDefault="009955E7" w:rsidP="00865BBB">
      <w:pPr>
        <w:rPr>
          <w:sz w:val="22"/>
          <w:szCs w:val="22"/>
        </w:rPr>
      </w:pPr>
    </w:p>
    <w:p w:rsidR="008E6235" w:rsidRDefault="008E6235" w:rsidP="00865BBB">
      <w:pPr>
        <w:rPr>
          <w:sz w:val="22"/>
          <w:szCs w:val="22"/>
        </w:rPr>
      </w:pPr>
      <w:r w:rsidRPr="00B9021D">
        <w:rPr>
          <w:b/>
          <w:sz w:val="22"/>
          <w:szCs w:val="22"/>
        </w:rPr>
        <w:t>GC1Y Sections Approved</w:t>
      </w:r>
      <w:r w:rsidR="00B9021D">
        <w:rPr>
          <w:sz w:val="22"/>
          <w:szCs w:val="22"/>
        </w:rPr>
        <w:t xml:space="preserve"> (all sections carry the course number GC1Y 1000)</w:t>
      </w:r>
      <w:r>
        <w:rPr>
          <w:sz w:val="22"/>
          <w:szCs w:val="22"/>
        </w:rPr>
        <w:t>:</w:t>
      </w:r>
      <w:r w:rsidR="00B9021D">
        <w:rPr>
          <w:sz w:val="22"/>
          <w:szCs w:val="22"/>
        </w:rPr>
        <w:t xml:space="preserve"> </w:t>
      </w:r>
    </w:p>
    <w:p w:rsidR="000028D4" w:rsidRDefault="00B9021D" w:rsidP="00865BBB">
      <w:pPr>
        <w:rPr>
          <w:sz w:val="22"/>
          <w:szCs w:val="22"/>
        </w:rPr>
      </w:pPr>
      <w:proofErr w:type="spellStart"/>
      <w:r>
        <w:rPr>
          <w:sz w:val="22"/>
          <w:szCs w:val="22"/>
        </w:rPr>
        <w:t>Swansonomics</w:t>
      </w:r>
      <w:proofErr w:type="spellEnd"/>
    </w:p>
    <w:p w:rsidR="00B9021D" w:rsidRDefault="00B9021D" w:rsidP="00865BBB">
      <w:pPr>
        <w:rPr>
          <w:sz w:val="22"/>
          <w:szCs w:val="22"/>
        </w:rPr>
      </w:pPr>
      <w:r>
        <w:rPr>
          <w:sz w:val="22"/>
          <w:szCs w:val="22"/>
        </w:rPr>
        <w:t>The Capital Punishment Debate</w:t>
      </w:r>
    </w:p>
    <w:p w:rsidR="00B9021D" w:rsidRDefault="00B9021D" w:rsidP="00865BBB">
      <w:pPr>
        <w:rPr>
          <w:sz w:val="22"/>
          <w:szCs w:val="22"/>
        </w:rPr>
      </w:pPr>
      <w:r>
        <w:rPr>
          <w:sz w:val="22"/>
          <w:szCs w:val="22"/>
        </w:rPr>
        <w:t xml:space="preserve"> </w:t>
      </w:r>
    </w:p>
    <w:p w:rsidR="008E6235" w:rsidRDefault="008E6235" w:rsidP="00865BBB">
      <w:pPr>
        <w:rPr>
          <w:sz w:val="22"/>
          <w:szCs w:val="22"/>
        </w:rPr>
      </w:pPr>
      <w:r w:rsidRPr="00B9021D">
        <w:rPr>
          <w:b/>
          <w:sz w:val="22"/>
          <w:szCs w:val="22"/>
        </w:rPr>
        <w:t>GC2Y Sections Approved</w:t>
      </w:r>
      <w:r w:rsidR="001129EB">
        <w:rPr>
          <w:sz w:val="22"/>
          <w:szCs w:val="22"/>
        </w:rPr>
        <w:t xml:space="preserve"> (all </w:t>
      </w:r>
      <w:r w:rsidR="00B9021D">
        <w:rPr>
          <w:sz w:val="22"/>
          <w:szCs w:val="22"/>
        </w:rPr>
        <w:t>sections</w:t>
      </w:r>
      <w:r w:rsidR="001129EB">
        <w:rPr>
          <w:sz w:val="22"/>
          <w:szCs w:val="22"/>
        </w:rPr>
        <w:t xml:space="preserve"> carry the course number GC2Y 2000)</w:t>
      </w:r>
      <w:r>
        <w:rPr>
          <w:sz w:val="22"/>
          <w:szCs w:val="22"/>
        </w:rPr>
        <w:t>:</w:t>
      </w:r>
    </w:p>
    <w:p w:rsidR="001129EB" w:rsidRDefault="001129EB" w:rsidP="00865BBB">
      <w:pPr>
        <w:rPr>
          <w:sz w:val="22"/>
          <w:szCs w:val="22"/>
        </w:rPr>
      </w:pPr>
      <w:r>
        <w:rPr>
          <w:sz w:val="22"/>
          <w:szCs w:val="22"/>
        </w:rPr>
        <w:t>Underworlds and Afterlives</w:t>
      </w:r>
    </w:p>
    <w:p w:rsidR="001129EB" w:rsidRDefault="001129EB" w:rsidP="00865BBB">
      <w:pPr>
        <w:rPr>
          <w:sz w:val="22"/>
          <w:szCs w:val="22"/>
        </w:rPr>
      </w:pPr>
      <w:r>
        <w:rPr>
          <w:sz w:val="22"/>
          <w:szCs w:val="22"/>
        </w:rPr>
        <w:t>Animal Ethics</w:t>
      </w:r>
    </w:p>
    <w:p w:rsidR="009A0D4E" w:rsidRDefault="00B9021D" w:rsidP="00865BBB">
      <w:pPr>
        <w:rPr>
          <w:sz w:val="22"/>
          <w:szCs w:val="22"/>
        </w:rPr>
      </w:pPr>
      <w:r>
        <w:rPr>
          <w:sz w:val="22"/>
          <w:szCs w:val="22"/>
        </w:rPr>
        <w:t>Iranian Post-1979 Cinema</w:t>
      </w:r>
    </w:p>
    <w:p w:rsidR="00B9021D" w:rsidRDefault="00B9021D" w:rsidP="00865BBB">
      <w:pPr>
        <w:rPr>
          <w:sz w:val="22"/>
          <w:szCs w:val="22"/>
        </w:rPr>
      </w:pPr>
      <w:r>
        <w:rPr>
          <w:sz w:val="22"/>
          <w:szCs w:val="22"/>
        </w:rPr>
        <w:t>History of Global Public Health</w:t>
      </w:r>
    </w:p>
    <w:p w:rsidR="00B9021D" w:rsidRDefault="00B9021D" w:rsidP="00865BBB">
      <w:pPr>
        <w:rPr>
          <w:sz w:val="22"/>
          <w:szCs w:val="22"/>
        </w:rPr>
      </w:pPr>
      <w:r>
        <w:rPr>
          <w:sz w:val="22"/>
          <w:szCs w:val="22"/>
        </w:rPr>
        <w:t>Globalization, Cultures, and Education</w:t>
      </w:r>
    </w:p>
    <w:p w:rsidR="005A4641" w:rsidRDefault="005A4641" w:rsidP="00865BBB">
      <w:pPr>
        <w:rPr>
          <w:sz w:val="22"/>
          <w:szCs w:val="22"/>
        </w:rPr>
      </w:pPr>
      <w:r>
        <w:rPr>
          <w:sz w:val="22"/>
          <w:szCs w:val="22"/>
        </w:rPr>
        <w:t>Diversity in Education: Belize Study Abroad</w:t>
      </w:r>
    </w:p>
    <w:p w:rsidR="00B9021D" w:rsidRDefault="00B9021D" w:rsidP="00865BBB">
      <w:pPr>
        <w:rPr>
          <w:sz w:val="22"/>
          <w:szCs w:val="22"/>
        </w:rPr>
      </w:pPr>
    </w:p>
    <w:p w:rsidR="008E6235" w:rsidRDefault="008E6235" w:rsidP="00865BBB">
      <w:pPr>
        <w:rPr>
          <w:sz w:val="22"/>
          <w:szCs w:val="22"/>
        </w:rPr>
      </w:pPr>
      <w:r w:rsidRPr="00B9021D">
        <w:rPr>
          <w:b/>
          <w:sz w:val="22"/>
          <w:szCs w:val="22"/>
        </w:rPr>
        <w:t>Global Perspectives Overlays Approved</w:t>
      </w:r>
      <w:r>
        <w:rPr>
          <w:sz w:val="22"/>
          <w:szCs w:val="22"/>
        </w:rPr>
        <w:t>:</w:t>
      </w:r>
    </w:p>
    <w:p w:rsidR="008A30CC" w:rsidRDefault="001129EB" w:rsidP="00865BBB">
      <w:pPr>
        <w:rPr>
          <w:sz w:val="22"/>
          <w:szCs w:val="22"/>
        </w:rPr>
      </w:pPr>
      <w:r>
        <w:rPr>
          <w:sz w:val="22"/>
          <w:szCs w:val="22"/>
        </w:rPr>
        <w:t>RELI 3500: Buddhist Traditions in Asia</w:t>
      </w:r>
    </w:p>
    <w:p w:rsidR="001129EB" w:rsidRDefault="001129EB" w:rsidP="00865BBB">
      <w:pPr>
        <w:rPr>
          <w:sz w:val="22"/>
          <w:szCs w:val="22"/>
        </w:rPr>
      </w:pPr>
      <w:r>
        <w:rPr>
          <w:sz w:val="22"/>
          <w:szCs w:val="22"/>
        </w:rPr>
        <w:t>RELI 3510: South Asian Buddhism</w:t>
      </w:r>
    </w:p>
    <w:p w:rsidR="001129EB" w:rsidRDefault="001129EB" w:rsidP="00865BBB">
      <w:pPr>
        <w:rPr>
          <w:sz w:val="22"/>
          <w:szCs w:val="22"/>
        </w:rPr>
      </w:pPr>
      <w:r>
        <w:rPr>
          <w:sz w:val="22"/>
          <w:szCs w:val="22"/>
        </w:rPr>
        <w:t>RELI 3520: Tibetan Buddhism</w:t>
      </w:r>
    </w:p>
    <w:p w:rsidR="001129EB" w:rsidRDefault="001129EB" w:rsidP="00865BBB">
      <w:pPr>
        <w:rPr>
          <w:sz w:val="22"/>
          <w:szCs w:val="22"/>
        </w:rPr>
      </w:pPr>
      <w:r>
        <w:rPr>
          <w:sz w:val="22"/>
          <w:szCs w:val="22"/>
        </w:rPr>
        <w:t>RELI 3530: Zen Buddhism</w:t>
      </w:r>
    </w:p>
    <w:p w:rsidR="001129EB" w:rsidRDefault="001129EB" w:rsidP="00865BBB">
      <w:pPr>
        <w:rPr>
          <w:sz w:val="22"/>
          <w:szCs w:val="22"/>
        </w:rPr>
      </w:pPr>
      <w:r>
        <w:rPr>
          <w:sz w:val="22"/>
          <w:szCs w:val="22"/>
        </w:rPr>
        <w:t>RELI 3600: Hindu Religious Traditions</w:t>
      </w:r>
    </w:p>
    <w:p w:rsidR="00B9021D" w:rsidRDefault="00B9021D" w:rsidP="00865BBB">
      <w:pPr>
        <w:rPr>
          <w:sz w:val="22"/>
          <w:szCs w:val="22"/>
        </w:rPr>
      </w:pPr>
      <w:r>
        <w:rPr>
          <w:sz w:val="22"/>
          <w:szCs w:val="22"/>
        </w:rPr>
        <w:t>PSYC 3500: Social Psychology</w:t>
      </w:r>
    </w:p>
    <w:p w:rsidR="00B9021D" w:rsidRDefault="00B9021D" w:rsidP="00865BBB">
      <w:pPr>
        <w:rPr>
          <w:sz w:val="22"/>
          <w:szCs w:val="22"/>
        </w:rPr>
      </w:pPr>
      <w:r>
        <w:rPr>
          <w:sz w:val="22"/>
          <w:szCs w:val="22"/>
        </w:rPr>
        <w:t>CHEM 2920: Chemistry Seminar</w:t>
      </w:r>
    </w:p>
    <w:p w:rsidR="00B9021D" w:rsidRDefault="00B9021D" w:rsidP="00865BBB">
      <w:pPr>
        <w:rPr>
          <w:sz w:val="22"/>
          <w:szCs w:val="22"/>
        </w:rPr>
      </w:pPr>
      <w:r>
        <w:rPr>
          <w:sz w:val="22"/>
          <w:szCs w:val="22"/>
        </w:rPr>
        <w:t>GEOG 4210: Military Geography</w:t>
      </w:r>
    </w:p>
    <w:p w:rsidR="00B9021D" w:rsidRDefault="00B9021D" w:rsidP="00865BBB">
      <w:pPr>
        <w:rPr>
          <w:sz w:val="22"/>
          <w:szCs w:val="22"/>
        </w:rPr>
      </w:pPr>
      <w:r>
        <w:rPr>
          <w:sz w:val="22"/>
          <w:szCs w:val="22"/>
        </w:rPr>
        <w:t>GEOG 4215: Insurgency and Terrorism</w:t>
      </w:r>
    </w:p>
    <w:p w:rsidR="00B9021D" w:rsidRDefault="00B9021D" w:rsidP="00865BBB">
      <w:pPr>
        <w:rPr>
          <w:sz w:val="22"/>
          <w:szCs w:val="22"/>
        </w:rPr>
      </w:pPr>
      <w:r>
        <w:rPr>
          <w:sz w:val="22"/>
          <w:szCs w:val="22"/>
        </w:rPr>
        <w:t>GEOG 4250: Geography of Health</w:t>
      </w:r>
    </w:p>
    <w:p w:rsidR="00B9021D" w:rsidRDefault="00B9021D" w:rsidP="00865BBB">
      <w:pPr>
        <w:rPr>
          <w:sz w:val="22"/>
          <w:szCs w:val="22"/>
        </w:rPr>
      </w:pPr>
      <w:r>
        <w:rPr>
          <w:sz w:val="22"/>
          <w:szCs w:val="22"/>
        </w:rPr>
        <w:t>PHYS 2920: Sophomore Seminar</w:t>
      </w:r>
    </w:p>
    <w:p w:rsidR="00B9021D" w:rsidRDefault="00B9021D" w:rsidP="00865BBB">
      <w:pPr>
        <w:rPr>
          <w:sz w:val="22"/>
          <w:szCs w:val="22"/>
        </w:rPr>
      </w:pPr>
      <w:r>
        <w:rPr>
          <w:sz w:val="22"/>
          <w:szCs w:val="22"/>
        </w:rPr>
        <w:t>PHIL 4660: Buddhism, Daoism, and the Myth of Meditation</w:t>
      </w:r>
    </w:p>
    <w:p w:rsidR="00B9021D" w:rsidRDefault="00B9021D" w:rsidP="00865BBB">
      <w:pPr>
        <w:rPr>
          <w:sz w:val="22"/>
          <w:szCs w:val="22"/>
        </w:rPr>
      </w:pPr>
      <w:r>
        <w:rPr>
          <w:sz w:val="22"/>
          <w:szCs w:val="22"/>
        </w:rPr>
        <w:t>KINS 4353: Global Public Health</w:t>
      </w:r>
    </w:p>
    <w:p w:rsidR="00B9021D" w:rsidRDefault="00B9021D" w:rsidP="00865BBB">
      <w:pPr>
        <w:rPr>
          <w:sz w:val="22"/>
          <w:szCs w:val="22"/>
        </w:rPr>
      </w:pPr>
      <w:r>
        <w:rPr>
          <w:sz w:val="22"/>
          <w:szCs w:val="22"/>
        </w:rPr>
        <w:t>ARTS 1100: Arts and Ideas</w:t>
      </w:r>
    </w:p>
    <w:p w:rsidR="00B9021D" w:rsidRDefault="00B9021D" w:rsidP="00865BBB">
      <w:pPr>
        <w:rPr>
          <w:sz w:val="22"/>
          <w:szCs w:val="22"/>
        </w:rPr>
      </w:pPr>
      <w:r>
        <w:rPr>
          <w:sz w:val="22"/>
          <w:szCs w:val="22"/>
        </w:rPr>
        <w:t>ARTS 4870: History of Photography</w:t>
      </w:r>
    </w:p>
    <w:p w:rsidR="005A4641" w:rsidRDefault="005A4641" w:rsidP="00865BBB">
      <w:pPr>
        <w:rPr>
          <w:sz w:val="22"/>
          <w:szCs w:val="22"/>
        </w:rPr>
      </w:pPr>
      <w:r>
        <w:rPr>
          <w:sz w:val="22"/>
          <w:szCs w:val="22"/>
        </w:rPr>
        <w:t>ENSC 1050: Sustainability and the World Population</w:t>
      </w:r>
    </w:p>
    <w:p w:rsidR="00B9021D" w:rsidRDefault="00B9021D" w:rsidP="00865BBB">
      <w:pPr>
        <w:rPr>
          <w:sz w:val="22"/>
          <w:szCs w:val="22"/>
        </w:rPr>
      </w:pPr>
      <w:r>
        <w:rPr>
          <w:sz w:val="22"/>
          <w:szCs w:val="22"/>
        </w:rPr>
        <w:t xml:space="preserve"> </w:t>
      </w:r>
    </w:p>
    <w:p w:rsidR="008E6235" w:rsidRDefault="008E6235" w:rsidP="00865BBB">
      <w:pPr>
        <w:rPr>
          <w:sz w:val="22"/>
          <w:szCs w:val="22"/>
        </w:rPr>
      </w:pPr>
      <w:r>
        <w:rPr>
          <w:sz w:val="22"/>
          <w:szCs w:val="22"/>
        </w:rPr>
        <w:t>Area C Courses Approved:</w:t>
      </w:r>
    </w:p>
    <w:p w:rsidR="00C1133B" w:rsidRDefault="00C1133B" w:rsidP="00865BBB">
      <w:pPr>
        <w:rPr>
          <w:sz w:val="22"/>
          <w:szCs w:val="22"/>
        </w:rPr>
      </w:pPr>
    </w:p>
    <w:p w:rsidR="008E6235" w:rsidRDefault="008E6235" w:rsidP="00865BBB">
      <w:pPr>
        <w:rPr>
          <w:sz w:val="22"/>
          <w:szCs w:val="22"/>
        </w:rPr>
      </w:pPr>
      <w:r w:rsidRPr="00B9021D">
        <w:rPr>
          <w:b/>
          <w:sz w:val="22"/>
          <w:szCs w:val="22"/>
        </w:rPr>
        <w:t>Area D Courses Approved</w:t>
      </w:r>
      <w:r>
        <w:rPr>
          <w:sz w:val="22"/>
          <w:szCs w:val="22"/>
        </w:rPr>
        <w:t>:</w:t>
      </w:r>
    </w:p>
    <w:p w:rsidR="00C1133B" w:rsidRDefault="00B9021D" w:rsidP="00865BBB">
      <w:pPr>
        <w:rPr>
          <w:sz w:val="22"/>
          <w:szCs w:val="22"/>
        </w:rPr>
      </w:pPr>
      <w:r>
        <w:rPr>
          <w:sz w:val="22"/>
          <w:szCs w:val="22"/>
        </w:rPr>
        <w:t>GEOG 2100: Introduction to Geospatial Science (for non-science majors)</w:t>
      </w:r>
    </w:p>
    <w:p w:rsidR="00B9021D" w:rsidRDefault="005A4641" w:rsidP="00865BBB">
      <w:pPr>
        <w:rPr>
          <w:sz w:val="22"/>
          <w:szCs w:val="22"/>
        </w:rPr>
      </w:pPr>
      <w:r>
        <w:rPr>
          <w:sz w:val="22"/>
          <w:szCs w:val="22"/>
        </w:rPr>
        <w:t>ENSC 1050: Sustainability and the World Population (for non-science majors)</w:t>
      </w:r>
    </w:p>
    <w:p w:rsidR="005A4641" w:rsidRDefault="005A4641" w:rsidP="00865BBB">
      <w:pPr>
        <w:rPr>
          <w:sz w:val="22"/>
          <w:szCs w:val="22"/>
        </w:rPr>
      </w:pPr>
    </w:p>
    <w:p w:rsidR="008E6235" w:rsidRDefault="008E6235" w:rsidP="00865BBB">
      <w:pPr>
        <w:rPr>
          <w:sz w:val="22"/>
          <w:szCs w:val="22"/>
        </w:rPr>
      </w:pPr>
    </w:p>
    <w:p w:rsidR="008E6235" w:rsidRPr="008E6235" w:rsidRDefault="008E6235" w:rsidP="00865BBB">
      <w:pPr>
        <w:rPr>
          <w:sz w:val="22"/>
          <w:szCs w:val="22"/>
        </w:rPr>
      </w:pPr>
    </w:p>
    <w:p w:rsidR="00865BBB" w:rsidRPr="008E6235" w:rsidRDefault="00865BBB" w:rsidP="00865BBB">
      <w:pPr>
        <w:rPr>
          <w:sz w:val="22"/>
          <w:szCs w:val="22"/>
        </w:rPr>
      </w:pPr>
      <w:r w:rsidRPr="008E6235">
        <w:rPr>
          <w:sz w:val="22"/>
          <w:szCs w:val="22"/>
        </w:rPr>
        <w:t> </w:t>
      </w:r>
      <w:r w:rsidRPr="008E6235">
        <w:rPr>
          <w:b/>
          <w:bCs/>
          <w:sz w:val="22"/>
          <w:szCs w:val="22"/>
        </w:rPr>
        <w:t>Committee Membership</w:t>
      </w:r>
      <w:r w:rsidRPr="008E6235">
        <w:rPr>
          <w:sz w:val="22"/>
          <w:szCs w:val="22"/>
        </w:rPr>
        <w:t xml:space="preserve"> </w:t>
      </w:r>
      <w:r w:rsidRPr="008E6235">
        <w:rPr>
          <w:b/>
          <w:bCs/>
          <w:sz w:val="22"/>
          <w:szCs w:val="22"/>
        </w:rPr>
        <w:t>and Record of Attendance</w:t>
      </w:r>
      <w:r w:rsidR="00B404E8" w:rsidRPr="008E6235">
        <w:rPr>
          <w:b/>
          <w:bCs/>
          <w:sz w:val="22"/>
          <w:szCs w:val="22"/>
        </w:rPr>
        <w:t xml:space="preserve"> (2</w:t>
      </w:r>
      <w:r w:rsidR="001129EB">
        <w:rPr>
          <w:b/>
          <w:bCs/>
          <w:sz w:val="22"/>
          <w:szCs w:val="22"/>
        </w:rPr>
        <w:t>0</w:t>
      </w:r>
      <w:r w:rsidR="00B404E8" w:rsidRPr="008E6235">
        <w:rPr>
          <w:b/>
          <w:bCs/>
          <w:sz w:val="22"/>
          <w:szCs w:val="22"/>
        </w:rPr>
        <w:t xml:space="preserve"> meetings held)</w:t>
      </w:r>
    </w:p>
    <w:tbl>
      <w:tblPr>
        <w:tblStyle w:val="TableGrid"/>
        <w:tblW w:w="0" w:type="auto"/>
        <w:tblLook w:val="04A0" w:firstRow="1" w:lastRow="0" w:firstColumn="1" w:lastColumn="0" w:noHBand="0" w:noVBand="1"/>
      </w:tblPr>
      <w:tblGrid>
        <w:gridCol w:w="2538"/>
        <w:gridCol w:w="1800"/>
        <w:gridCol w:w="1800"/>
        <w:gridCol w:w="1620"/>
      </w:tblGrid>
      <w:tr w:rsidR="009955E7" w:rsidRPr="008E6235" w:rsidTr="009955E7">
        <w:tc>
          <w:tcPr>
            <w:tcW w:w="2538" w:type="dxa"/>
          </w:tcPr>
          <w:p w:rsidR="009955E7" w:rsidRPr="008E6235" w:rsidRDefault="009955E7" w:rsidP="00865BBB">
            <w:pPr>
              <w:rPr>
                <w:iCs/>
                <w:sz w:val="22"/>
                <w:szCs w:val="22"/>
              </w:rPr>
            </w:pPr>
            <w:r w:rsidRPr="008E6235">
              <w:rPr>
                <w:iCs/>
                <w:sz w:val="22"/>
                <w:szCs w:val="22"/>
              </w:rPr>
              <w:t>Member Name</w:t>
            </w:r>
          </w:p>
        </w:tc>
        <w:tc>
          <w:tcPr>
            <w:tcW w:w="1800" w:type="dxa"/>
          </w:tcPr>
          <w:p w:rsidR="009955E7" w:rsidRPr="008E6235" w:rsidRDefault="009955E7" w:rsidP="009955E7">
            <w:pPr>
              <w:jc w:val="center"/>
              <w:rPr>
                <w:iCs/>
                <w:sz w:val="22"/>
                <w:szCs w:val="22"/>
              </w:rPr>
            </w:pPr>
            <w:r w:rsidRPr="008E6235">
              <w:rPr>
                <w:iCs/>
                <w:sz w:val="22"/>
                <w:szCs w:val="22"/>
              </w:rPr>
              <w:t>Attend</w:t>
            </w:r>
          </w:p>
        </w:tc>
        <w:tc>
          <w:tcPr>
            <w:tcW w:w="1800" w:type="dxa"/>
          </w:tcPr>
          <w:p w:rsidR="009955E7" w:rsidRPr="008E6235" w:rsidRDefault="009955E7" w:rsidP="009955E7">
            <w:pPr>
              <w:jc w:val="center"/>
              <w:rPr>
                <w:iCs/>
                <w:sz w:val="22"/>
                <w:szCs w:val="22"/>
              </w:rPr>
            </w:pPr>
            <w:r w:rsidRPr="008E6235">
              <w:rPr>
                <w:iCs/>
                <w:sz w:val="22"/>
                <w:szCs w:val="22"/>
              </w:rPr>
              <w:t>Regret</w:t>
            </w:r>
          </w:p>
        </w:tc>
        <w:tc>
          <w:tcPr>
            <w:tcW w:w="1620" w:type="dxa"/>
          </w:tcPr>
          <w:p w:rsidR="009955E7" w:rsidRPr="008E6235" w:rsidRDefault="009955E7" w:rsidP="009955E7">
            <w:pPr>
              <w:jc w:val="center"/>
              <w:rPr>
                <w:iCs/>
                <w:sz w:val="22"/>
                <w:szCs w:val="22"/>
              </w:rPr>
            </w:pPr>
            <w:r w:rsidRPr="008E6235">
              <w:rPr>
                <w:iCs/>
                <w:sz w:val="22"/>
                <w:szCs w:val="22"/>
              </w:rPr>
              <w:t>Absent</w:t>
            </w:r>
          </w:p>
        </w:tc>
      </w:tr>
      <w:tr w:rsidR="009955E7" w:rsidRPr="008E6235" w:rsidTr="009955E7">
        <w:tc>
          <w:tcPr>
            <w:tcW w:w="2538" w:type="dxa"/>
          </w:tcPr>
          <w:p w:rsidR="009955E7" w:rsidRPr="008E6235" w:rsidRDefault="0050455D" w:rsidP="00865BBB">
            <w:pPr>
              <w:rPr>
                <w:iCs/>
                <w:sz w:val="22"/>
                <w:szCs w:val="22"/>
              </w:rPr>
            </w:pPr>
            <w:r w:rsidRPr="008E6235">
              <w:rPr>
                <w:iCs/>
                <w:sz w:val="22"/>
                <w:szCs w:val="22"/>
              </w:rPr>
              <w:t>Kay Anderson (Secretary)</w:t>
            </w:r>
          </w:p>
        </w:tc>
        <w:tc>
          <w:tcPr>
            <w:tcW w:w="1800" w:type="dxa"/>
          </w:tcPr>
          <w:p w:rsidR="009955E7" w:rsidRPr="008E6235" w:rsidRDefault="001129EB" w:rsidP="001129EB">
            <w:pPr>
              <w:jc w:val="center"/>
              <w:rPr>
                <w:iCs/>
                <w:sz w:val="22"/>
                <w:szCs w:val="22"/>
              </w:rPr>
            </w:pPr>
            <w:r>
              <w:rPr>
                <w:iCs/>
                <w:sz w:val="22"/>
                <w:szCs w:val="22"/>
              </w:rPr>
              <w:t>18</w:t>
            </w:r>
          </w:p>
        </w:tc>
        <w:tc>
          <w:tcPr>
            <w:tcW w:w="1800" w:type="dxa"/>
          </w:tcPr>
          <w:p w:rsidR="009955E7" w:rsidRPr="008E6235" w:rsidRDefault="001129EB" w:rsidP="001129EB">
            <w:pPr>
              <w:jc w:val="center"/>
              <w:rPr>
                <w:iCs/>
                <w:sz w:val="22"/>
                <w:szCs w:val="22"/>
              </w:rPr>
            </w:pPr>
            <w:r>
              <w:rPr>
                <w:iCs/>
                <w:sz w:val="22"/>
                <w:szCs w:val="22"/>
              </w:rPr>
              <w:t>2</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9955E7" w:rsidP="00865BBB">
            <w:pPr>
              <w:rPr>
                <w:iCs/>
                <w:sz w:val="22"/>
                <w:szCs w:val="22"/>
              </w:rPr>
            </w:pPr>
            <w:r w:rsidRPr="008E6235">
              <w:rPr>
                <w:iCs/>
                <w:sz w:val="22"/>
                <w:szCs w:val="22"/>
              </w:rPr>
              <w:t>Scott Butler</w:t>
            </w:r>
          </w:p>
        </w:tc>
        <w:tc>
          <w:tcPr>
            <w:tcW w:w="1800" w:type="dxa"/>
          </w:tcPr>
          <w:p w:rsidR="009955E7" w:rsidRPr="008E6235" w:rsidRDefault="001129EB" w:rsidP="001129EB">
            <w:pPr>
              <w:jc w:val="center"/>
              <w:rPr>
                <w:iCs/>
                <w:sz w:val="22"/>
                <w:szCs w:val="22"/>
              </w:rPr>
            </w:pPr>
            <w:r>
              <w:rPr>
                <w:iCs/>
                <w:sz w:val="22"/>
                <w:szCs w:val="22"/>
              </w:rPr>
              <w:t>16</w:t>
            </w:r>
          </w:p>
        </w:tc>
        <w:tc>
          <w:tcPr>
            <w:tcW w:w="1800" w:type="dxa"/>
          </w:tcPr>
          <w:p w:rsidR="009955E7" w:rsidRPr="008E6235" w:rsidRDefault="001129EB" w:rsidP="001129EB">
            <w:pPr>
              <w:jc w:val="center"/>
              <w:rPr>
                <w:iCs/>
                <w:sz w:val="22"/>
                <w:szCs w:val="22"/>
              </w:rPr>
            </w:pPr>
            <w:r>
              <w:rPr>
                <w:iCs/>
                <w:sz w:val="22"/>
                <w:szCs w:val="22"/>
              </w:rPr>
              <w:t>4</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50455D" w:rsidP="00865BBB">
            <w:pPr>
              <w:rPr>
                <w:iCs/>
                <w:sz w:val="22"/>
                <w:szCs w:val="22"/>
              </w:rPr>
            </w:pPr>
            <w:r>
              <w:rPr>
                <w:iCs/>
                <w:sz w:val="22"/>
                <w:szCs w:val="22"/>
              </w:rPr>
              <w:t>Roberta Gorham</w:t>
            </w:r>
          </w:p>
        </w:tc>
        <w:tc>
          <w:tcPr>
            <w:tcW w:w="1800" w:type="dxa"/>
          </w:tcPr>
          <w:p w:rsidR="009955E7" w:rsidRPr="008E6235" w:rsidRDefault="001129EB" w:rsidP="001129EB">
            <w:pPr>
              <w:jc w:val="center"/>
              <w:rPr>
                <w:iCs/>
                <w:sz w:val="22"/>
                <w:szCs w:val="22"/>
              </w:rPr>
            </w:pPr>
            <w:r>
              <w:rPr>
                <w:iCs/>
                <w:sz w:val="22"/>
                <w:szCs w:val="22"/>
              </w:rPr>
              <w:t>19</w:t>
            </w:r>
          </w:p>
        </w:tc>
        <w:tc>
          <w:tcPr>
            <w:tcW w:w="1800" w:type="dxa"/>
          </w:tcPr>
          <w:p w:rsidR="009955E7" w:rsidRPr="008E6235" w:rsidRDefault="001129EB" w:rsidP="001129EB">
            <w:pPr>
              <w:jc w:val="center"/>
              <w:rPr>
                <w:iCs/>
                <w:sz w:val="22"/>
                <w:szCs w:val="22"/>
              </w:rPr>
            </w:pPr>
            <w:r>
              <w:rPr>
                <w:iCs/>
                <w:sz w:val="22"/>
                <w:szCs w:val="22"/>
              </w:rPr>
              <w:t>1</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50455D" w:rsidP="00865BBB">
            <w:pPr>
              <w:rPr>
                <w:iCs/>
                <w:sz w:val="22"/>
                <w:szCs w:val="22"/>
              </w:rPr>
            </w:pPr>
            <w:r w:rsidRPr="008E6235">
              <w:rPr>
                <w:iCs/>
                <w:sz w:val="22"/>
                <w:szCs w:val="22"/>
              </w:rPr>
              <w:t xml:space="preserve">Mary </w:t>
            </w:r>
            <w:proofErr w:type="spellStart"/>
            <w:r w:rsidRPr="008E6235">
              <w:rPr>
                <w:iCs/>
                <w:sz w:val="22"/>
                <w:szCs w:val="22"/>
              </w:rPr>
              <w:t>Magoulick</w:t>
            </w:r>
            <w:proofErr w:type="spellEnd"/>
          </w:p>
        </w:tc>
        <w:tc>
          <w:tcPr>
            <w:tcW w:w="1800" w:type="dxa"/>
          </w:tcPr>
          <w:p w:rsidR="009955E7" w:rsidRPr="008E6235" w:rsidRDefault="001129EB" w:rsidP="001129EB">
            <w:pPr>
              <w:jc w:val="center"/>
              <w:rPr>
                <w:iCs/>
                <w:sz w:val="22"/>
                <w:szCs w:val="22"/>
              </w:rPr>
            </w:pPr>
            <w:r>
              <w:rPr>
                <w:iCs/>
                <w:sz w:val="22"/>
                <w:szCs w:val="22"/>
              </w:rPr>
              <w:t>19</w:t>
            </w:r>
          </w:p>
        </w:tc>
        <w:tc>
          <w:tcPr>
            <w:tcW w:w="1800" w:type="dxa"/>
          </w:tcPr>
          <w:p w:rsidR="009955E7" w:rsidRPr="008E6235" w:rsidRDefault="001129EB" w:rsidP="001129EB">
            <w:pPr>
              <w:jc w:val="center"/>
              <w:rPr>
                <w:iCs/>
                <w:sz w:val="22"/>
                <w:szCs w:val="22"/>
              </w:rPr>
            </w:pPr>
            <w:r>
              <w:rPr>
                <w:iCs/>
                <w:sz w:val="22"/>
                <w:szCs w:val="22"/>
              </w:rPr>
              <w:t>1</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50455D" w:rsidP="0050455D">
            <w:pPr>
              <w:rPr>
                <w:iCs/>
                <w:sz w:val="22"/>
                <w:szCs w:val="22"/>
              </w:rPr>
            </w:pPr>
            <w:r w:rsidRPr="008E6235">
              <w:rPr>
                <w:iCs/>
                <w:sz w:val="22"/>
                <w:szCs w:val="22"/>
              </w:rPr>
              <w:t>Cara Meade</w:t>
            </w:r>
          </w:p>
        </w:tc>
        <w:tc>
          <w:tcPr>
            <w:tcW w:w="1800" w:type="dxa"/>
          </w:tcPr>
          <w:p w:rsidR="009955E7" w:rsidRPr="008E6235" w:rsidRDefault="001129EB" w:rsidP="001129EB">
            <w:pPr>
              <w:jc w:val="center"/>
              <w:rPr>
                <w:iCs/>
                <w:sz w:val="22"/>
                <w:szCs w:val="22"/>
              </w:rPr>
            </w:pPr>
            <w:r>
              <w:rPr>
                <w:iCs/>
                <w:sz w:val="22"/>
                <w:szCs w:val="22"/>
              </w:rPr>
              <w:t>17</w:t>
            </w:r>
          </w:p>
        </w:tc>
        <w:tc>
          <w:tcPr>
            <w:tcW w:w="1800" w:type="dxa"/>
          </w:tcPr>
          <w:p w:rsidR="009955E7" w:rsidRPr="008E6235" w:rsidRDefault="001129EB" w:rsidP="001129EB">
            <w:pPr>
              <w:jc w:val="center"/>
              <w:rPr>
                <w:iCs/>
                <w:sz w:val="22"/>
                <w:szCs w:val="22"/>
              </w:rPr>
            </w:pPr>
            <w:r>
              <w:rPr>
                <w:iCs/>
                <w:sz w:val="22"/>
                <w:szCs w:val="22"/>
              </w:rPr>
              <w:t>3</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50455D" w:rsidP="00865BBB">
            <w:pPr>
              <w:rPr>
                <w:iCs/>
                <w:sz w:val="22"/>
                <w:szCs w:val="22"/>
              </w:rPr>
            </w:pPr>
            <w:proofErr w:type="spellStart"/>
            <w:r>
              <w:rPr>
                <w:iCs/>
                <w:sz w:val="22"/>
                <w:szCs w:val="22"/>
              </w:rPr>
              <w:t>Yeprem</w:t>
            </w:r>
            <w:proofErr w:type="spellEnd"/>
            <w:r>
              <w:rPr>
                <w:iCs/>
                <w:sz w:val="22"/>
                <w:szCs w:val="22"/>
              </w:rPr>
              <w:t xml:space="preserve"> </w:t>
            </w:r>
            <w:proofErr w:type="spellStart"/>
            <w:r>
              <w:rPr>
                <w:iCs/>
                <w:sz w:val="22"/>
                <w:szCs w:val="22"/>
              </w:rPr>
              <w:t>Mehranian</w:t>
            </w:r>
            <w:proofErr w:type="spellEnd"/>
          </w:p>
        </w:tc>
        <w:tc>
          <w:tcPr>
            <w:tcW w:w="1800" w:type="dxa"/>
          </w:tcPr>
          <w:p w:rsidR="009955E7" w:rsidRPr="008E6235" w:rsidRDefault="001129EB" w:rsidP="001129EB">
            <w:pPr>
              <w:jc w:val="center"/>
              <w:rPr>
                <w:iCs/>
                <w:sz w:val="22"/>
                <w:szCs w:val="22"/>
              </w:rPr>
            </w:pPr>
            <w:r>
              <w:rPr>
                <w:iCs/>
                <w:sz w:val="22"/>
                <w:szCs w:val="22"/>
              </w:rPr>
              <w:t>15</w:t>
            </w:r>
          </w:p>
        </w:tc>
        <w:tc>
          <w:tcPr>
            <w:tcW w:w="1800" w:type="dxa"/>
          </w:tcPr>
          <w:p w:rsidR="009955E7" w:rsidRPr="008E6235" w:rsidRDefault="001129EB" w:rsidP="001129EB">
            <w:pPr>
              <w:jc w:val="center"/>
              <w:rPr>
                <w:iCs/>
                <w:sz w:val="22"/>
                <w:szCs w:val="22"/>
              </w:rPr>
            </w:pPr>
            <w:r>
              <w:rPr>
                <w:iCs/>
                <w:sz w:val="22"/>
                <w:szCs w:val="22"/>
              </w:rPr>
              <w:t>4</w:t>
            </w:r>
          </w:p>
        </w:tc>
        <w:tc>
          <w:tcPr>
            <w:tcW w:w="1620" w:type="dxa"/>
          </w:tcPr>
          <w:p w:rsidR="009955E7" w:rsidRPr="008E6235" w:rsidRDefault="001129EB" w:rsidP="001129EB">
            <w:pPr>
              <w:jc w:val="center"/>
              <w:rPr>
                <w:iCs/>
                <w:sz w:val="22"/>
                <w:szCs w:val="22"/>
              </w:rPr>
            </w:pPr>
            <w:r>
              <w:rPr>
                <w:iCs/>
                <w:sz w:val="22"/>
                <w:szCs w:val="22"/>
              </w:rPr>
              <w:t>1</w:t>
            </w:r>
          </w:p>
        </w:tc>
      </w:tr>
      <w:tr w:rsidR="009955E7" w:rsidRPr="008E6235" w:rsidTr="009955E7">
        <w:tc>
          <w:tcPr>
            <w:tcW w:w="2538" w:type="dxa"/>
          </w:tcPr>
          <w:p w:rsidR="009955E7" w:rsidRPr="008E6235" w:rsidRDefault="0050455D" w:rsidP="00865BBB">
            <w:pPr>
              <w:rPr>
                <w:iCs/>
                <w:sz w:val="22"/>
                <w:szCs w:val="22"/>
              </w:rPr>
            </w:pPr>
            <w:proofErr w:type="spellStart"/>
            <w:r>
              <w:rPr>
                <w:iCs/>
                <w:sz w:val="22"/>
                <w:szCs w:val="22"/>
              </w:rPr>
              <w:t>Chavonda</w:t>
            </w:r>
            <w:proofErr w:type="spellEnd"/>
            <w:r>
              <w:rPr>
                <w:iCs/>
                <w:sz w:val="22"/>
                <w:szCs w:val="22"/>
              </w:rPr>
              <w:t xml:space="preserve"> Mills</w:t>
            </w:r>
          </w:p>
        </w:tc>
        <w:tc>
          <w:tcPr>
            <w:tcW w:w="1800" w:type="dxa"/>
          </w:tcPr>
          <w:p w:rsidR="009955E7" w:rsidRPr="008E6235" w:rsidRDefault="001129EB" w:rsidP="001129EB">
            <w:pPr>
              <w:jc w:val="center"/>
              <w:rPr>
                <w:iCs/>
                <w:sz w:val="22"/>
                <w:szCs w:val="22"/>
              </w:rPr>
            </w:pPr>
            <w:r>
              <w:rPr>
                <w:iCs/>
                <w:sz w:val="22"/>
                <w:szCs w:val="22"/>
              </w:rPr>
              <w:t>17</w:t>
            </w:r>
          </w:p>
        </w:tc>
        <w:tc>
          <w:tcPr>
            <w:tcW w:w="1800" w:type="dxa"/>
          </w:tcPr>
          <w:p w:rsidR="009955E7" w:rsidRPr="008E6235" w:rsidRDefault="001129EB" w:rsidP="001129EB">
            <w:pPr>
              <w:jc w:val="center"/>
              <w:rPr>
                <w:iCs/>
                <w:sz w:val="22"/>
                <w:szCs w:val="22"/>
              </w:rPr>
            </w:pPr>
            <w:r>
              <w:rPr>
                <w:iCs/>
                <w:sz w:val="22"/>
                <w:szCs w:val="22"/>
              </w:rPr>
              <w:t>3</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50455D" w:rsidP="00865BBB">
            <w:pPr>
              <w:rPr>
                <w:iCs/>
                <w:sz w:val="22"/>
                <w:szCs w:val="22"/>
              </w:rPr>
            </w:pPr>
            <w:proofErr w:type="spellStart"/>
            <w:r>
              <w:rPr>
                <w:iCs/>
                <w:sz w:val="22"/>
                <w:szCs w:val="22"/>
              </w:rPr>
              <w:t>Shaundra</w:t>
            </w:r>
            <w:proofErr w:type="spellEnd"/>
            <w:r>
              <w:rPr>
                <w:iCs/>
                <w:sz w:val="22"/>
                <w:szCs w:val="22"/>
              </w:rPr>
              <w:t xml:space="preserve"> Walker</w:t>
            </w:r>
          </w:p>
        </w:tc>
        <w:tc>
          <w:tcPr>
            <w:tcW w:w="1800" w:type="dxa"/>
          </w:tcPr>
          <w:p w:rsidR="009955E7" w:rsidRPr="008E6235" w:rsidRDefault="001129EB" w:rsidP="001129EB">
            <w:pPr>
              <w:jc w:val="center"/>
              <w:rPr>
                <w:iCs/>
                <w:sz w:val="22"/>
                <w:szCs w:val="22"/>
              </w:rPr>
            </w:pPr>
            <w:r>
              <w:rPr>
                <w:iCs/>
                <w:sz w:val="22"/>
                <w:szCs w:val="22"/>
              </w:rPr>
              <w:t>17</w:t>
            </w:r>
          </w:p>
        </w:tc>
        <w:tc>
          <w:tcPr>
            <w:tcW w:w="1800" w:type="dxa"/>
          </w:tcPr>
          <w:p w:rsidR="009955E7" w:rsidRPr="008E6235" w:rsidRDefault="001129EB" w:rsidP="001129EB">
            <w:pPr>
              <w:jc w:val="center"/>
              <w:rPr>
                <w:iCs/>
                <w:sz w:val="22"/>
                <w:szCs w:val="22"/>
              </w:rPr>
            </w:pPr>
            <w:r>
              <w:rPr>
                <w:iCs/>
                <w:sz w:val="22"/>
                <w:szCs w:val="22"/>
              </w:rPr>
              <w:t>1</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50455D" w:rsidP="00865BBB">
            <w:pPr>
              <w:rPr>
                <w:iCs/>
                <w:sz w:val="22"/>
                <w:szCs w:val="22"/>
              </w:rPr>
            </w:pPr>
            <w:r w:rsidRPr="008E6235">
              <w:rPr>
                <w:iCs/>
                <w:sz w:val="22"/>
                <w:szCs w:val="22"/>
              </w:rPr>
              <w:t xml:space="preserve">Amy </w:t>
            </w:r>
            <w:proofErr w:type="spellStart"/>
            <w:r w:rsidRPr="008E6235">
              <w:rPr>
                <w:iCs/>
                <w:sz w:val="22"/>
                <w:szCs w:val="22"/>
              </w:rPr>
              <w:t>Sumpter</w:t>
            </w:r>
            <w:proofErr w:type="spellEnd"/>
            <w:r>
              <w:rPr>
                <w:iCs/>
                <w:sz w:val="22"/>
                <w:szCs w:val="22"/>
              </w:rPr>
              <w:t xml:space="preserve"> (Vice Chair)</w:t>
            </w:r>
          </w:p>
        </w:tc>
        <w:tc>
          <w:tcPr>
            <w:tcW w:w="1800" w:type="dxa"/>
          </w:tcPr>
          <w:p w:rsidR="009955E7" w:rsidRPr="008E6235" w:rsidRDefault="001129EB" w:rsidP="001129EB">
            <w:pPr>
              <w:jc w:val="center"/>
              <w:rPr>
                <w:iCs/>
                <w:sz w:val="22"/>
                <w:szCs w:val="22"/>
              </w:rPr>
            </w:pPr>
            <w:r>
              <w:rPr>
                <w:iCs/>
                <w:sz w:val="22"/>
                <w:szCs w:val="22"/>
              </w:rPr>
              <w:t>20</w:t>
            </w:r>
          </w:p>
        </w:tc>
        <w:tc>
          <w:tcPr>
            <w:tcW w:w="1800" w:type="dxa"/>
          </w:tcPr>
          <w:p w:rsidR="009955E7" w:rsidRPr="008E6235" w:rsidRDefault="001129EB" w:rsidP="001129EB">
            <w:pPr>
              <w:jc w:val="center"/>
              <w:rPr>
                <w:iCs/>
                <w:sz w:val="22"/>
                <w:szCs w:val="22"/>
              </w:rPr>
            </w:pPr>
            <w:r>
              <w:rPr>
                <w:iCs/>
                <w:sz w:val="22"/>
                <w:szCs w:val="22"/>
              </w:rPr>
              <w:t>0</w:t>
            </w:r>
          </w:p>
        </w:tc>
        <w:tc>
          <w:tcPr>
            <w:tcW w:w="1620" w:type="dxa"/>
          </w:tcPr>
          <w:p w:rsidR="009955E7" w:rsidRPr="008E6235" w:rsidRDefault="001129EB" w:rsidP="001129EB">
            <w:pPr>
              <w:jc w:val="center"/>
              <w:rPr>
                <w:iCs/>
                <w:sz w:val="22"/>
                <w:szCs w:val="22"/>
              </w:rPr>
            </w:pPr>
            <w:r>
              <w:rPr>
                <w:iCs/>
                <w:sz w:val="22"/>
                <w:szCs w:val="22"/>
              </w:rPr>
              <w:t>0</w:t>
            </w:r>
          </w:p>
        </w:tc>
      </w:tr>
      <w:tr w:rsidR="009955E7" w:rsidRPr="008E6235" w:rsidTr="009955E7">
        <w:tc>
          <w:tcPr>
            <w:tcW w:w="2538" w:type="dxa"/>
          </w:tcPr>
          <w:p w:rsidR="009955E7" w:rsidRPr="008E6235" w:rsidRDefault="0050455D" w:rsidP="00865BBB">
            <w:pPr>
              <w:rPr>
                <w:iCs/>
                <w:sz w:val="22"/>
                <w:szCs w:val="22"/>
              </w:rPr>
            </w:pPr>
            <w:r w:rsidRPr="008E6235">
              <w:rPr>
                <w:iCs/>
                <w:sz w:val="22"/>
                <w:szCs w:val="22"/>
              </w:rPr>
              <w:t>John Swinton (Chair)</w:t>
            </w:r>
          </w:p>
        </w:tc>
        <w:tc>
          <w:tcPr>
            <w:tcW w:w="1800" w:type="dxa"/>
          </w:tcPr>
          <w:p w:rsidR="009955E7" w:rsidRPr="008E6235" w:rsidRDefault="001129EB" w:rsidP="001129EB">
            <w:pPr>
              <w:jc w:val="center"/>
              <w:rPr>
                <w:iCs/>
                <w:sz w:val="22"/>
                <w:szCs w:val="22"/>
              </w:rPr>
            </w:pPr>
            <w:r>
              <w:rPr>
                <w:iCs/>
                <w:sz w:val="22"/>
                <w:szCs w:val="22"/>
              </w:rPr>
              <w:t>18</w:t>
            </w:r>
          </w:p>
        </w:tc>
        <w:tc>
          <w:tcPr>
            <w:tcW w:w="1800" w:type="dxa"/>
          </w:tcPr>
          <w:p w:rsidR="009955E7" w:rsidRPr="008E6235" w:rsidRDefault="001129EB" w:rsidP="001129EB">
            <w:pPr>
              <w:jc w:val="center"/>
              <w:rPr>
                <w:iCs/>
                <w:sz w:val="22"/>
                <w:szCs w:val="22"/>
              </w:rPr>
            </w:pPr>
            <w:r>
              <w:rPr>
                <w:iCs/>
                <w:sz w:val="22"/>
                <w:szCs w:val="22"/>
              </w:rPr>
              <w:t>2</w:t>
            </w:r>
          </w:p>
        </w:tc>
        <w:tc>
          <w:tcPr>
            <w:tcW w:w="1620" w:type="dxa"/>
          </w:tcPr>
          <w:p w:rsidR="009955E7" w:rsidRPr="008E6235" w:rsidRDefault="001129EB" w:rsidP="001129EB">
            <w:pPr>
              <w:jc w:val="center"/>
              <w:rPr>
                <w:iCs/>
                <w:sz w:val="22"/>
                <w:szCs w:val="22"/>
              </w:rPr>
            </w:pPr>
            <w:r>
              <w:rPr>
                <w:iCs/>
                <w:sz w:val="22"/>
                <w:szCs w:val="22"/>
              </w:rPr>
              <w:t>0</w:t>
            </w:r>
          </w:p>
        </w:tc>
      </w:tr>
    </w:tbl>
    <w:tbl>
      <w:tblPr>
        <w:tblW w:w="9090" w:type="dxa"/>
        <w:tblInd w:w="93" w:type="dxa"/>
        <w:tblLook w:val="04A0" w:firstRow="1" w:lastRow="0" w:firstColumn="1" w:lastColumn="0" w:noHBand="0" w:noVBand="1"/>
      </w:tblPr>
      <w:tblGrid>
        <w:gridCol w:w="9090"/>
      </w:tblGrid>
      <w:tr w:rsidR="001129EB" w:rsidRPr="008E6235" w:rsidTr="001129EB">
        <w:trPr>
          <w:trHeight w:val="300"/>
        </w:trPr>
        <w:tc>
          <w:tcPr>
            <w:tcW w:w="9090" w:type="dxa"/>
            <w:tcBorders>
              <w:top w:val="nil"/>
              <w:left w:val="nil"/>
              <w:bottom w:val="nil"/>
            </w:tcBorders>
            <w:shd w:val="clear" w:color="auto" w:fill="auto"/>
            <w:noWrap/>
            <w:vAlign w:val="bottom"/>
            <w:hideMark/>
          </w:tcPr>
          <w:p w:rsidR="001129EB" w:rsidRPr="008E6235" w:rsidRDefault="001129EB" w:rsidP="001129EB">
            <w:pPr>
              <w:ind w:right="-6693"/>
              <w:rPr>
                <w:color w:val="000000"/>
                <w:sz w:val="22"/>
                <w:szCs w:val="22"/>
              </w:rPr>
            </w:pPr>
            <w:r w:rsidRPr="008E6235">
              <w:rPr>
                <w:color w:val="000000"/>
                <w:sz w:val="22"/>
                <w:szCs w:val="22"/>
              </w:rPr>
              <w:lastRenderedPageBreak/>
              <w:t>Guests:</w:t>
            </w:r>
          </w:p>
        </w:tc>
      </w:tr>
      <w:tr w:rsidR="001129EB" w:rsidRPr="008E6235" w:rsidTr="006A716F">
        <w:trPr>
          <w:trHeight w:val="300"/>
        </w:trPr>
        <w:tc>
          <w:tcPr>
            <w:tcW w:w="9090" w:type="dxa"/>
            <w:tcBorders>
              <w:top w:val="nil"/>
              <w:left w:val="nil"/>
              <w:bottom w:val="nil"/>
              <w:right w:val="nil"/>
            </w:tcBorders>
            <w:shd w:val="clear" w:color="auto" w:fill="auto"/>
            <w:noWrap/>
            <w:vAlign w:val="bottom"/>
          </w:tcPr>
          <w:p w:rsidR="001129EB" w:rsidRPr="008E6235" w:rsidRDefault="001129EB" w:rsidP="00F24D97">
            <w:pPr>
              <w:rPr>
                <w:color w:val="000000"/>
                <w:sz w:val="22"/>
                <w:szCs w:val="22"/>
              </w:rPr>
            </w:pPr>
            <w:r>
              <w:rPr>
                <w:color w:val="000000"/>
                <w:sz w:val="22"/>
                <w:szCs w:val="22"/>
              </w:rPr>
              <w:t xml:space="preserve">Ryan Brown, </w:t>
            </w:r>
            <w:proofErr w:type="spellStart"/>
            <w:r>
              <w:rPr>
                <w:color w:val="000000"/>
                <w:sz w:val="22"/>
                <w:szCs w:val="22"/>
              </w:rPr>
              <w:t>Funke</w:t>
            </w:r>
            <w:proofErr w:type="spellEnd"/>
            <w:r>
              <w:rPr>
                <w:color w:val="000000"/>
                <w:sz w:val="22"/>
                <w:szCs w:val="22"/>
              </w:rPr>
              <w:t xml:space="preserve"> Fontenot (2), Julia </w:t>
            </w:r>
            <w:proofErr w:type="spellStart"/>
            <w:r w:rsidR="00F24D97">
              <w:rPr>
                <w:color w:val="000000"/>
                <w:sz w:val="22"/>
                <w:szCs w:val="22"/>
              </w:rPr>
              <w:t>Metzer</w:t>
            </w:r>
            <w:proofErr w:type="spellEnd"/>
            <w:r w:rsidR="00F24D97">
              <w:rPr>
                <w:color w:val="000000"/>
                <w:sz w:val="22"/>
                <w:szCs w:val="22"/>
              </w:rPr>
              <w:t xml:space="preserve">, Doug </w:t>
            </w:r>
            <w:proofErr w:type="spellStart"/>
            <w:r w:rsidR="00F24D97">
              <w:rPr>
                <w:color w:val="000000"/>
                <w:sz w:val="22"/>
                <w:szCs w:val="22"/>
              </w:rPr>
              <w:t>Oetter</w:t>
            </w:r>
            <w:proofErr w:type="spellEnd"/>
            <w:r w:rsidR="00F24D97">
              <w:rPr>
                <w:color w:val="000000"/>
                <w:sz w:val="22"/>
                <w:szCs w:val="22"/>
              </w:rPr>
              <w:t xml:space="preserve"> (2), Craig T</w:t>
            </w:r>
            <w:r>
              <w:rPr>
                <w:color w:val="000000"/>
                <w:sz w:val="22"/>
                <w:szCs w:val="22"/>
              </w:rPr>
              <w:t xml:space="preserve">urner, Catherine Whelan, John </w:t>
            </w:r>
            <w:proofErr w:type="spellStart"/>
            <w:r>
              <w:rPr>
                <w:color w:val="000000"/>
                <w:sz w:val="22"/>
                <w:szCs w:val="22"/>
              </w:rPr>
              <w:t>Si</w:t>
            </w:r>
            <w:r w:rsidR="00F24D97">
              <w:rPr>
                <w:color w:val="000000"/>
                <w:sz w:val="22"/>
                <w:szCs w:val="22"/>
              </w:rPr>
              <w:t>r</w:t>
            </w:r>
            <w:r>
              <w:rPr>
                <w:color w:val="000000"/>
                <w:sz w:val="22"/>
                <w:szCs w:val="22"/>
              </w:rPr>
              <w:t>m</w:t>
            </w:r>
            <w:r w:rsidR="00F24D97">
              <w:rPr>
                <w:color w:val="000000"/>
                <w:sz w:val="22"/>
                <w:szCs w:val="22"/>
              </w:rPr>
              <w:t>a</w:t>
            </w:r>
            <w:r>
              <w:rPr>
                <w:color w:val="000000"/>
                <w:sz w:val="22"/>
                <w:szCs w:val="22"/>
              </w:rPr>
              <w:t>ns</w:t>
            </w:r>
            <w:proofErr w:type="spellEnd"/>
            <w:r>
              <w:rPr>
                <w:color w:val="000000"/>
                <w:sz w:val="22"/>
                <w:szCs w:val="22"/>
              </w:rPr>
              <w:t xml:space="preserve">, </w:t>
            </w:r>
            <w:proofErr w:type="spellStart"/>
            <w:r>
              <w:rPr>
                <w:color w:val="000000"/>
                <w:sz w:val="22"/>
                <w:szCs w:val="22"/>
              </w:rPr>
              <w:t>Aran</w:t>
            </w:r>
            <w:proofErr w:type="spellEnd"/>
            <w:r>
              <w:rPr>
                <w:color w:val="000000"/>
                <w:sz w:val="22"/>
                <w:szCs w:val="22"/>
              </w:rPr>
              <w:t xml:space="preserve"> McKinnon (2), Heidi Fowler, Stephanie </w:t>
            </w:r>
            <w:proofErr w:type="spellStart"/>
            <w:r>
              <w:rPr>
                <w:color w:val="000000"/>
                <w:sz w:val="22"/>
                <w:szCs w:val="22"/>
              </w:rPr>
              <w:t>Opperman</w:t>
            </w:r>
            <w:proofErr w:type="spellEnd"/>
            <w:r>
              <w:rPr>
                <w:color w:val="000000"/>
                <w:sz w:val="22"/>
                <w:szCs w:val="22"/>
              </w:rPr>
              <w:t xml:space="preserve">, </w:t>
            </w:r>
            <w:proofErr w:type="spellStart"/>
            <w:r>
              <w:rPr>
                <w:color w:val="000000"/>
                <w:sz w:val="22"/>
                <w:szCs w:val="22"/>
              </w:rPr>
              <w:t>Rui</w:t>
            </w:r>
            <w:proofErr w:type="spellEnd"/>
            <w:r>
              <w:rPr>
                <w:color w:val="000000"/>
                <w:sz w:val="22"/>
                <w:szCs w:val="22"/>
              </w:rPr>
              <w:t xml:space="preserve"> Kang, Veronica Womack, Sara </w:t>
            </w:r>
            <w:proofErr w:type="spellStart"/>
            <w:r>
              <w:rPr>
                <w:color w:val="000000"/>
                <w:sz w:val="22"/>
                <w:szCs w:val="22"/>
              </w:rPr>
              <w:t>Do</w:t>
            </w:r>
            <w:bookmarkStart w:id="0" w:name="_GoBack"/>
            <w:bookmarkEnd w:id="0"/>
            <w:r>
              <w:rPr>
                <w:color w:val="000000"/>
                <w:sz w:val="22"/>
                <w:szCs w:val="22"/>
              </w:rPr>
              <w:t>ude</w:t>
            </w:r>
            <w:proofErr w:type="spellEnd"/>
            <w:r>
              <w:rPr>
                <w:color w:val="000000"/>
                <w:sz w:val="22"/>
                <w:szCs w:val="22"/>
              </w:rPr>
              <w:t xml:space="preserve">, </w:t>
            </w:r>
            <w:proofErr w:type="spellStart"/>
            <w:r>
              <w:rPr>
                <w:color w:val="000000"/>
                <w:sz w:val="22"/>
                <w:szCs w:val="22"/>
              </w:rPr>
              <w:t>Caralyn</w:t>
            </w:r>
            <w:proofErr w:type="spellEnd"/>
            <w:r>
              <w:rPr>
                <w:color w:val="000000"/>
                <w:sz w:val="22"/>
                <w:szCs w:val="22"/>
              </w:rPr>
              <w:t xml:space="preserve"> </w:t>
            </w:r>
            <w:proofErr w:type="spellStart"/>
            <w:r>
              <w:rPr>
                <w:color w:val="000000"/>
                <w:sz w:val="22"/>
                <w:szCs w:val="22"/>
              </w:rPr>
              <w:t>Zehnder</w:t>
            </w:r>
            <w:proofErr w:type="spellEnd"/>
            <w:r>
              <w:rPr>
                <w:color w:val="000000"/>
                <w:sz w:val="22"/>
                <w:szCs w:val="22"/>
              </w:rPr>
              <w:t xml:space="preserve">, </w:t>
            </w:r>
            <w:proofErr w:type="spellStart"/>
            <w:r>
              <w:rPr>
                <w:color w:val="000000"/>
                <w:sz w:val="22"/>
                <w:szCs w:val="22"/>
              </w:rPr>
              <w:t>Lyndall</w:t>
            </w:r>
            <w:proofErr w:type="spellEnd"/>
            <w:r>
              <w:rPr>
                <w:color w:val="000000"/>
                <w:sz w:val="22"/>
                <w:szCs w:val="22"/>
              </w:rPr>
              <w:t xml:space="preserve"> </w:t>
            </w:r>
            <w:proofErr w:type="spellStart"/>
            <w:r>
              <w:rPr>
                <w:color w:val="000000"/>
                <w:sz w:val="22"/>
                <w:szCs w:val="22"/>
              </w:rPr>
              <w:t>Mushell</w:t>
            </w:r>
            <w:proofErr w:type="spellEnd"/>
          </w:p>
        </w:tc>
      </w:tr>
    </w:tbl>
    <w:p w:rsidR="002C5E22" w:rsidRDefault="002C5E22" w:rsidP="00865BBB">
      <w:pPr>
        <w:rPr>
          <w:b/>
          <w:bCs/>
          <w:sz w:val="22"/>
          <w:szCs w:val="22"/>
        </w:rPr>
      </w:pPr>
    </w:p>
    <w:p w:rsidR="00865BBB" w:rsidRPr="008E6235" w:rsidRDefault="00865BBB" w:rsidP="00865BBB">
      <w:pPr>
        <w:rPr>
          <w:sz w:val="22"/>
          <w:szCs w:val="22"/>
        </w:rPr>
      </w:pPr>
      <w:r w:rsidRPr="008E6235">
        <w:rPr>
          <w:b/>
          <w:bCs/>
          <w:sz w:val="22"/>
          <w:szCs w:val="22"/>
        </w:rPr>
        <w:t>Motions brought to the Senate floor:</w:t>
      </w:r>
    </w:p>
    <w:p w:rsidR="00003CD4" w:rsidRPr="002C5E22" w:rsidRDefault="00003CD4" w:rsidP="00865BBB">
      <w:pPr>
        <w:rPr>
          <w:iCs/>
          <w:sz w:val="22"/>
          <w:szCs w:val="22"/>
        </w:rPr>
      </w:pPr>
    </w:p>
    <w:p w:rsidR="00865BBB" w:rsidRPr="008E6235" w:rsidRDefault="00003CD4" w:rsidP="00865BBB">
      <w:pPr>
        <w:rPr>
          <w:i/>
          <w:iCs/>
          <w:sz w:val="22"/>
          <w:szCs w:val="22"/>
        </w:rPr>
      </w:pPr>
      <w:proofErr w:type="spellStart"/>
      <w:r w:rsidRPr="008E6235">
        <w:rPr>
          <w:iCs/>
          <w:sz w:val="22"/>
          <w:szCs w:val="22"/>
        </w:rPr>
        <w:t>SoCC</w:t>
      </w:r>
      <w:proofErr w:type="spellEnd"/>
      <w:r w:rsidRPr="008E6235">
        <w:rPr>
          <w:iCs/>
          <w:sz w:val="22"/>
          <w:szCs w:val="22"/>
        </w:rPr>
        <w:t xml:space="preserve"> does not </w:t>
      </w:r>
      <w:r w:rsidR="0050455D">
        <w:rPr>
          <w:iCs/>
          <w:sz w:val="22"/>
          <w:szCs w:val="22"/>
        </w:rPr>
        <w:t xml:space="preserve">typically </w:t>
      </w:r>
      <w:r w:rsidRPr="008E6235">
        <w:rPr>
          <w:iCs/>
          <w:sz w:val="22"/>
          <w:szCs w:val="22"/>
        </w:rPr>
        <w:t xml:space="preserve">directly recommend motions to the Senate.  Through its affiliation to CAPC, it can and does make motions regarding the core.  </w:t>
      </w:r>
    </w:p>
    <w:p w:rsidR="002C5E22" w:rsidRDefault="002C5E22" w:rsidP="00865BBB">
      <w:pPr>
        <w:rPr>
          <w:sz w:val="22"/>
          <w:szCs w:val="22"/>
        </w:rPr>
      </w:pPr>
    </w:p>
    <w:p w:rsidR="00865BBB" w:rsidRDefault="008E6235" w:rsidP="00865BBB">
      <w:pPr>
        <w:rPr>
          <w:sz w:val="22"/>
          <w:szCs w:val="22"/>
        </w:rPr>
      </w:pPr>
      <w:r>
        <w:rPr>
          <w:sz w:val="22"/>
          <w:szCs w:val="22"/>
        </w:rPr>
        <w:t xml:space="preserve">The </w:t>
      </w:r>
      <w:r w:rsidR="0059130B">
        <w:rPr>
          <w:sz w:val="22"/>
          <w:szCs w:val="22"/>
        </w:rPr>
        <w:t>Subc</w:t>
      </w:r>
      <w:r>
        <w:rPr>
          <w:sz w:val="22"/>
          <w:szCs w:val="22"/>
        </w:rPr>
        <w:t>ommittee request</w:t>
      </w:r>
      <w:r w:rsidR="00800EB7">
        <w:rPr>
          <w:sz w:val="22"/>
          <w:szCs w:val="22"/>
        </w:rPr>
        <w:t>ed</w:t>
      </w:r>
      <w:r>
        <w:rPr>
          <w:sz w:val="22"/>
          <w:szCs w:val="22"/>
        </w:rPr>
        <w:t xml:space="preserve"> a </w:t>
      </w:r>
      <w:r w:rsidR="00C155C9">
        <w:rPr>
          <w:sz w:val="22"/>
          <w:szCs w:val="22"/>
        </w:rPr>
        <w:t xml:space="preserve">change to the University Senate Bylaws to alter the composition of the Subcommittee.  This bylaw revision was ultimately passed by the University Senate.  </w:t>
      </w:r>
    </w:p>
    <w:p w:rsidR="002C5E22" w:rsidRDefault="002C5E22" w:rsidP="00865BBB">
      <w:pPr>
        <w:rPr>
          <w:sz w:val="22"/>
          <w:szCs w:val="22"/>
        </w:rPr>
      </w:pPr>
    </w:p>
    <w:p w:rsidR="00C155C9" w:rsidRDefault="009A0D4E" w:rsidP="00865BBB">
      <w:pPr>
        <w:rPr>
          <w:sz w:val="22"/>
          <w:szCs w:val="22"/>
        </w:rPr>
      </w:pPr>
      <w:r>
        <w:rPr>
          <w:sz w:val="22"/>
          <w:szCs w:val="22"/>
        </w:rPr>
        <w:t xml:space="preserve">The </w:t>
      </w:r>
      <w:r w:rsidR="0059130B">
        <w:rPr>
          <w:sz w:val="22"/>
          <w:szCs w:val="22"/>
        </w:rPr>
        <w:t>Subc</w:t>
      </w:r>
      <w:r>
        <w:rPr>
          <w:sz w:val="22"/>
          <w:szCs w:val="22"/>
        </w:rPr>
        <w:t xml:space="preserve">ommittee requested CAPC move to include </w:t>
      </w:r>
      <w:r w:rsidR="00C155C9">
        <w:rPr>
          <w:sz w:val="22"/>
          <w:szCs w:val="22"/>
        </w:rPr>
        <w:t xml:space="preserve">in its bylaws or operating procedures that it would act as an arbitrator if disputes arise during the process of reviewing courses for inclusion in the Core or to carry the Global Perspectives Overlay.  </w:t>
      </w:r>
      <w:proofErr w:type="gramStart"/>
      <w:r w:rsidR="00C155C9">
        <w:rPr>
          <w:sz w:val="22"/>
          <w:szCs w:val="22"/>
        </w:rPr>
        <w:t>ECUS has</w:t>
      </w:r>
      <w:proofErr w:type="gramEnd"/>
      <w:r w:rsidR="00C155C9">
        <w:rPr>
          <w:sz w:val="22"/>
          <w:szCs w:val="22"/>
        </w:rPr>
        <w:t xml:space="preserve"> asked that CAPC put this in their operating procedures until the Senate Bylaws can be amended.  </w:t>
      </w:r>
    </w:p>
    <w:p w:rsidR="00865BBB" w:rsidRPr="008E6235" w:rsidRDefault="00865BBB" w:rsidP="00865BBB">
      <w:pPr>
        <w:rPr>
          <w:sz w:val="22"/>
          <w:szCs w:val="22"/>
        </w:rPr>
      </w:pPr>
      <w:r w:rsidRPr="008E6235">
        <w:rPr>
          <w:b/>
          <w:bCs/>
          <w:sz w:val="22"/>
          <w:szCs w:val="22"/>
        </w:rPr>
        <w:t> </w:t>
      </w:r>
    </w:p>
    <w:p w:rsidR="00865BBB" w:rsidRPr="008E6235" w:rsidRDefault="00865BBB" w:rsidP="00865BBB">
      <w:pPr>
        <w:rPr>
          <w:sz w:val="22"/>
          <w:szCs w:val="22"/>
        </w:rPr>
      </w:pPr>
      <w:r w:rsidRPr="008E6235">
        <w:rPr>
          <w:b/>
          <w:bCs/>
          <w:sz w:val="22"/>
          <w:szCs w:val="22"/>
        </w:rPr>
        <w:t>Other Significant Deliberation (Non-Motions):</w:t>
      </w:r>
    </w:p>
    <w:p w:rsidR="001B2DAB" w:rsidRDefault="001B2DAB" w:rsidP="00865BBB">
      <w:pPr>
        <w:rPr>
          <w:sz w:val="22"/>
          <w:szCs w:val="22"/>
        </w:rPr>
      </w:pPr>
    </w:p>
    <w:p w:rsidR="001B2DAB" w:rsidRDefault="001B2DAB" w:rsidP="00865BBB">
      <w:pPr>
        <w:rPr>
          <w:sz w:val="22"/>
          <w:szCs w:val="22"/>
        </w:rPr>
      </w:pPr>
      <w:r>
        <w:rPr>
          <w:sz w:val="22"/>
          <w:szCs w:val="22"/>
        </w:rPr>
        <w:t>Messages to Provost’s Office:</w:t>
      </w:r>
    </w:p>
    <w:p w:rsidR="00210BD7" w:rsidRPr="00210BD7" w:rsidRDefault="00431AF9" w:rsidP="00210BD7">
      <w:pPr>
        <w:pStyle w:val="ListParagraph"/>
        <w:numPr>
          <w:ilvl w:val="0"/>
          <w:numId w:val="1"/>
        </w:numPr>
        <w:rPr>
          <w:sz w:val="22"/>
          <w:szCs w:val="22"/>
        </w:rPr>
      </w:pPr>
      <w:r w:rsidRPr="00210BD7">
        <w:rPr>
          <w:sz w:val="22"/>
          <w:szCs w:val="22"/>
        </w:rPr>
        <w:t>Need to provide more opportunity for Global Perspective overlays in professional programs</w:t>
      </w:r>
      <w:r w:rsidR="00210BD7" w:rsidRPr="00210BD7">
        <w:rPr>
          <w:sz w:val="22"/>
          <w:szCs w:val="22"/>
        </w:rPr>
        <w:t xml:space="preserve"> and for transfer students</w:t>
      </w:r>
      <w:r w:rsidRPr="00210BD7">
        <w:rPr>
          <w:sz w:val="22"/>
          <w:szCs w:val="22"/>
        </w:rPr>
        <w:t>.  Too many students will finish their senior year with insufficient GP overlays if this need is not addressed soon.</w:t>
      </w:r>
      <w:r w:rsidR="002C5E22" w:rsidRPr="00210BD7">
        <w:rPr>
          <w:sz w:val="22"/>
          <w:szCs w:val="22"/>
        </w:rPr>
        <w:t xml:space="preserve">  The Subcommittee agreed that by broadening overlays outside of the Core to include issues of diversity and culture would provide additional opportunities to students of programs that currently have little room for courses that meet the relatively strict definition of Global as described by the Board of Regents would be beneficial.  Members of the Diversity taskforce, however, asked that </w:t>
      </w:r>
      <w:proofErr w:type="spellStart"/>
      <w:r w:rsidR="002C5E22" w:rsidRPr="00210BD7">
        <w:rPr>
          <w:sz w:val="22"/>
          <w:szCs w:val="22"/>
        </w:rPr>
        <w:t>SoCC</w:t>
      </w:r>
      <w:proofErr w:type="spellEnd"/>
      <w:r w:rsidR="002C5E22" w:rsidRPr="00210BD7">
        <w:rPr>
          <w:sz w:val="22"/>
          <w:szCs w:val="22"/>
        </w:rPr>
        <w:t xml:space="preserve"> delay taking any action in that direction until the Diversity taskforce is able to define “diversity”.</w:t>
      </w:r>
    </w:p>
    <w:p w:rsidR="00431AF9" w:rsidRDefault="00210BD7" w:rsidP="001B2DAB">
      <w:pPr>
        <w:pStyle w:val="ListParagraph"/>
        <w:numPr>
          <w:ilvl w:val="0"/>
          <w:numId w:val="1"/>
        </w:numPr>
        <w:rPr>
          <w:sz w:val="22"/>
          <w:szCs w:val="22"/>
        </w:rPr>
      </w:pPr>
      <w:r>
        <w:rPr>
          <w:sz w:val="22"/>
          <w:szCs w:val="22"/>
        </w:rPr>
        <w:t>The Provost’s Office should take the lead in establishing protocol for crediting faculty for the 4</w:t>
      </w:r>
      <w:r w:rsidRPr="00210BD7">
        <w:rPr>
          <w:sz w:val="22"/>
          <w:szCs w:val="22"/>
          <w:vertAlign w:val="superscript"/>
        </w:rPr>
        <w:t>th</w:t>
      </w:r>
      <w:r>
        <w:rPr>
          <w:sz w:val="22"/>
          <w:szCs w:val="22"/>
        </w:rPr>
        <w:t xml:space="preserve"> for teaching a GC2Y section and for allocating credit for team-taught GC1Y or GC2Y sections.  </w:t>
      </w:r>
      <w:proofErr w:type="spellStart"/>
      <w:r>
        <w:rPr>
          <w:sz w:val="22"/>
          <w:szCs w:val="22"/>
        </w:rPr>
        <w:t>SoCC</w:t>
      </w:r>
      <w:proofErr w:type="spellEnd"/>
      <w:r>
        <w:rPr>
          <w:sz w:val="22"/>
          <w:szCs w:val="22"/>
        </w:rPr>
        <w:t xml:space="preserve"> has seen very few proposals for sections that integrate </w:t>
      </w:r>
      <w:r w:rsidR="00800EB7">
        <w:rPr>
          <w:sz w:val="22"/>
          <w:szCs w:val="22"/>
        </w:rPr>
        <w:t xml:space="preserve">multiple disciplines particularly across Colleges.  This is a missed opportunity.  While it would be nice to think that Deans and Chairs could work out ad hoc arrangements, this will ultimately cause strife as faculty members discover differences across campus.  It would be better to have an institutional standard for how credit hours are counted into faculty member workloads for GC1Y and GC2Y sections. </w:t>
      </w:r>
      <w:r>
        <w:rPr>
          <w:sz w:val="22"/>
          <w:szCs w:val="22"/>
        </w:rPr>
        <w:t xml:space="preserve">  </w:t>
      </w:r>
      <w:r w:rsidR="002C5E22">
        <w:rPr>
          <w:sz w:val="22"/>
          <w:szCs w:val="22"/>
        </w:rPr>
        <w:t xml:space="preserve">  </w:t>
      </w:r>
    </w:p>
    <w:p w:rsidR="001B2DAB" w:rsidRDefault="001B2DAB" w:rsidP="001B2DAB">
      <w:pPr>
        <w:rPr>
          <w:sz w:val="22"/>
          <w:szCs w:val="22"/>
        </w:rPr>
      </w:pPr>
    </w:p>
    <w:p w:rsidR="001B2DAB" w:rsidRPr="001B2DAB" w:rsidRDefault="001B2DAB" w:rsidP="001B2DAB">
      <w:pPr>
        <w:rPr>
          <w:sz w:val="22"/>
          <w:szCs w:val="22"/>
        </w:rPr>
      </w:pPr>
      <w:r>
        <w:rPr>
          <w:sz w:val="22"/>
          <w:szCs w:val="22"/>
        </w:rPr>
        <w:t xml:space="preserve">Assessment: </w:t>
      </w:r>
      <w:r w:rsidR="002C5E22">
        <w:rPr>
          <w:sz w:val="22"/>
          <w:szCs w:val="22"/>
        </w:rPr>
        <w:t xml:space="preserve">With the SACSCOC visit scheduled during the year it became clear that </w:t>
      </w:r>
      <w:proofErr w:type="spellStart"/>
      <w:r w:rsidR="002C5E22">
        <w:rPr>
          <w:sz w:val="22"/>
          <w:szCs w:val="22"/>
        </w:rPr>
        <w:t>SoCC</w:t>
      </w:r>
      <w:proofErr w:type="spellEnd"/>
      <w:r w:rsidR="002C5E22">
        <w:rPr>
          <w:sz w:val="22"/>
          <w:szCs w:val="22"/>
        </w:rPr>
        <w:t xml:space="preserve"> as a whole </w:t>
      </w:r>
      <w:r w:rsidR="00210BD7">
        <w:rPr>
          <w:sz w:val="22"/>
          <w:szCs w:val="22"/>
        </w:rPr>
        <w:t xml:space="preserve">is not well placed to take on the task of systematic assessment of the Core.  It is the hope of the Subcommittee that the pending reorganization will address that problem.  However, it also became evident that the magnitude of the task of conducting a good assessment of GC students’ Core experience is a large and difficult task. </w:t>
      </w:r>
      <w:r w:rsidR="00C1426B">
        <w:rPr>
          <w:sz w:val="22"/>
          <w:szCs w:val="22"/>
        </w:rPr>
        <w:t xml:space="preserve">   </w:t>
      </w:r>
    </w:p>
    <w:p w:rsidR="00865BBB" w:rsidRPr="008E6235" w:rsidRDefault="00865BBB" w:rsidP="00865BBB">
      <w:pPr>
        <w:rPr>
          <w:sz w:val="22"/>
          <w:szCs w:val="22"/>
        </w:rPr>
      </w:pPr>
      <w:r w:rsidRPr="008E6235">
        <w:rPr>
          <w:sz w:val="22"/>
          <w:szCs w:val="22"/>
        </w:rPr>
        <w:t> </w:t>
      </w:r>
    </w:p>
    <w:p w:rsidR="00865BBB" w:rsidRPr="008E6235" w:rsidRDefault="00865BBB" w:rsidP="00865BBB">
      <w:pPr>
        <w:rPr>
          <w:sz w:val="22"/>
          <w:szCs w:val="22"/>
        </w:rPr>
      </w:pPr>
      <w:r w:rsidRPr="008E6235">
        <w:rPr>
          <w:b/>
          <w:bCs/>
          <w:sz w:val="22"/>
          <w:szCs w:val="22"/>
        </w:rPr>
        <w:t>Committee Recommendations:</w:t>
      </w:r>
    </w:p>
    <w:p w:rsidR="00C1426B" w:rsidRDefault="00C1426B" w:rsidP="00865BBB">
      <w:pPr>
        <w:rPr>
          <w:iCs/>
          <w:sz w:val="22"/>
          <w:szCs w:val="22"/>
        </w:rPr>
      </w:pPr>
      <w:r>
        <w:rPr>
          <w:iCs/>
          <w:sz w:val="22"/>
          <w:szCs w:val="22"/>
        </w:rPr>
        <w:t>More time will probably be spent on assessment issues.</w:t>
      </w:r>
    </w:p>
    <w:p w:rsidR="00C1426B" w:rsidRDefault="00C1426B" w:rsidP="00865BBB">
      <w:pPr>
        <w:rPr>
          <w:iCs/>
          <w:sz w:val="22"/>
          <w:szCs w:val="22"/>
        </w:rPr>
      </w:pPr>
      <w:r>
        <w:rPr>
          <w:iCs/>
          <w:sz w:val="22"/>
          <w:szCs w:val="22"/>
        </w:rPr>
        <w:t xml:space="preserve">Meeting every week is probably not a </w:t>
      </w:r>
      <w:r w:rsidR="00467485">
        <w:rPr>
          <w:iCs/>
          <w:sz w:val="22"/>
          <w:szCs w:val="22"/>
        </w:rPr>
        <w:t>good idea</w:t>
      </w:r>
      <w:r>
        <w:rPr>
          <w:iCs/>
          <w:sz w:val="22"/>
          <w:szCs w:val="22"/>
        </w:rPr>
        <w:t>.</w:t>
      </w:r>
    </w:p>
    <w:p w:rsidR="00C1426B" w:rsidRDefault="00AC4578" w:rsidP="00865BBB">
      <w:pPr>
        <w:rPr>
          <w:sz w:val="22"/>
          <w:szCs w:val="22"/>
        </w:rPr>
      </w:pPr>
      <w:r>
        <w:rPr>
          <w:sz w:val="22"/>
          <w:szCs w:val="22"/>
        </w:rPr>
        <w:t xml:space="preserve">It will be interesting to see if the D2L platform and new forms improve the review process. </w:t>
      </w:r>
    </w:p>
    <w:p w:rsidR="00AC4578" w:rsidRDefault="00AC4578" w:rsidP="00865BBB">
      <w:pPr>
        <w:rPr>
          <w:sz w:val="22"/>
          <w:szCs w:val="22"/>
        </w:rPr>
      </w:pPr>
      <w:r>
        <w:rPr>
          <w:sz w:val="22"/>
          <w:szCs w:val="22"/>
        </w:rPr>
        <w:t>Make a habit of inviting people who submit proposals to attend the meeting at which their proposals will be discussed.  This seemed to work reasonably well</w:t>
      </w:r>
      <w:r w:rsidR="00210BD7">
        <w:rPr>
          <w:sz w:val="22"/>
          <w:szCs w:val="22"/>
        </w:rPr>
        <w:t xml:space="preserve"> and may help alleviate the misconception that the Subcommittee has some secret agenda</w:t>
      </w:r>
      <w:r>
        <w:rPr>
          <w:sz w:val="22"/>
          <w:szCs w:val="22"/>
        </w:rPr>
        <w:t>.</w:t>
      </w:r>
    </w:p>
    <w:p w:rsidR="00467485" w:rsidRPr="00C1426B" w:rsidRDefault="00467485" w:rsidP="00865BBB">
      <w:pPr>
        <w:rPr>
          <w:sz w:val="22"/>
          <w:szCs w:val="22"/>
        </w:rPr>
      </w:pPr>
      <w:r>
        <w:rPr>
          <w:sz w:val="22"/>
          <w:szCs w:val="22"/>
        </w:rPr>
        <w:t>When the Subcommittee grows in size it will be important to focus on the different expertise people bring to the table.  I would suggest forming sub-subcommittees to address assessment issues for the different areas of the Core and not expect everyone to meet all the time.</w:t>
      </w:r>
      <w:r w:rsidR="00800EB7">
        <w:rPr>
          <w:sz w:val="22"/>
          <w:szCs w:val="22"/>
        </w:rPr>
        <w:t xml:space="preserve">  If busy faculty members feel they are being required to attend numerous meetings where their input is not required, the schedule will become onerous.  </w:t>
      </w:r>
    </w:p>
    <w:p w:rsidR="00865BBB" w:rsidRPr="008E6235" w:rsidRDefault="00865BBB" w:rsidP="00865BBB">
      <w:pPr>
        <w:rPr>
          <w:sz w:val="22"/>
          <w:szCs w:val="22"/>
        </w:rPr>
      </w:pPr>
      <w:r w:rsidRPr="008E6235">
        <w:rPr>
          <w:b/>
          <w:bCs/>
          <w:sz w:val="22"/>
          <w:szCs w:val="22"/>
        </w:rPr>
        <w:t> </w:t>
      </w:r>
    </w:p>
    <w:p w:rsidR="00865BBB" w:rsidRPr="008E6235" w:rsidRDefault="00865BBB" w:rsidP="00865BBB">
      <w:pPr>
        <w:rPr>
          <w:sz w:val="22"/>
          <w:szCs w:val="22"/>
        </w:rPr>
      </w:pPr>
      <w:r w:rsidRPr="008E6235">
        <w:rPr>
          <w:b/>
          <w:bCs/>
          <w:sz w:val="22"/>
          <w:szCs w:val="22"/>
        </w:rPr>
        <w:lastRenderedPageBreak/>
        <w:t>Recommend items for consideration at the governance retreat:</w:t>
      </w:r>
    </w:p>
    <w:p w:rsidR="00865BBB" w:rsidRPr="008E6235" w:rsidRDefault="00865BBB" w:rsidP="00865BBB">
      <w:pPr>
        <w:rPr>
          <w:sz w:val="22"/>
          <w:szCs w:val="22"/>
        </w:rPr>
      </w:pPr>
    </w:p>
    <w:p w:rsidR="00800EB7" w:rsidRPr="008E6235" w:rsidRDefault="00800EB7" w:rsidP="00800EB7">
      <w:pPr>
        <w:rPr>
          <w:sz w:val="22"/>
          <w:szCs w:val="22"/>
        </w:rPr>
      </w:pPr>
      <w:r w:rsidRPr="008E6235">
        <w:rPr>
          <w:b/>
          <w:bCs/>
          <w:sz w:val="22"/>
          <w:szCs w:val="22"/>
        </w:rPr>
        <w:t>Committee</w:t>
      </w:r>
      <w:r>
        <w:rPr>
          <w:b/>
          <w:bCs/>
          <w:sz w:val="22"/>
          <w:szCs w:val="22"/>
        </w:rPr>
        <w:t>’s Chair</w:t>
      </w:r>
      <w:r w:rsidRPr="008E6235">
        <w:rPr>
          <w:b/>
          <w:bCs/>
          <w:sz w:val="22"/>
          <w:szCs w:val="22"/>
        </w:rPr>
        <w:t xml:space="preserve"> Reflections:</w:t>
      </w:r>
    </w:p>
    <w:p w:rsidR="00800EB7" w:rsidRDefault="00800EB7" w:rsidP="00800EB7">
      <w:pPr>
        <w:rPr>
          <w:sz w:val="22"/>
          <w:szCs w:val="22"/>
        </w:rPr>
      </w:pPr>
      <w:r>
        <w:rPr>
          <w:sz w:val="22"/>
          <w:szCs w:val="22"/>
        </w:rPr>
        <w:t xml:space="preserve">The difficulty of the tasks put before the Subcommittee started to take its toll this year.  Committee meetings were more contentious than in years past and relationships with one or two faculty members outside of the Subcommittee were less than cordial.  While most members took great efforts to maintain a professional approach throughout the year, the Subcommittee has been asked to undertake too many different tasks.  It cannot simultaneously serve as the gatekeeper of entry into the Core and assessment of Core classes (and ultimately arbiter of courses that remain in the Core) with only the members’ goodwill toward the institution to maintain it.  Considering how often the Subcommittee meets and the potentially volatile nature of some of the topics, it is unreasonable to think that the current model is sustainable. Ultimately, it is probably in the best interest of Georgia College to professionalize systematic assessment and allow faculty to focus on the nature of our Core.  </w:t>
      </w:r>
    </w:p>
    <w:p w:rsidR="00800EB7" w:rsidRPr="008E6235" w:rsidRDefault="00800EB7" w:rsidP="00800EB7">
      <w:pPr>
        <w:rPr>
          <w:sz w:val="22"/>
          <w:szCs w:val="22"/>
        </w:rPr>
      </w:pPr>
      <w:r w:rsidRPr="008E6235">
        <w:rPr>
          <w:sz w:val="22"/>
          <w:szCs w:val="22"/>
        </w:rPr>
        <w:t> </w:t>
      </w:r>
    </w:p>
    <w:p w:rsidR="00F22337" w:rsidRPr="008E6235" w:rsidRDefault="00F22337" w:rsidP="00F22337">
      <w:pPr>
        <w:rPr>
          <w:b/>
          <w:bCs/>
          <w:sz w:val="22"/>
          <w:szCs w:val="22"/>
        </w:rPr>
      </w:pPr>
      <w:r w:rsidRPr="008E6235">
        <w:rPr>
          <w:b/>
          <w:bCs/>
          <w:sz w:val="22"/>
          <w:szCs w:val="22"/>
        </w:rPr>
        <w:t>Appendix: Committee Operating Procedures</w:t>
      </w:r>
    </w:p>
    <w:p w:rsidR="00F22337" w:rsidRDefault="00C1426B" w:rsidP="00F22337">
      <w:pPr>
        <w:rPr>
          <w:iCs/>
          <w:sz w:val="22"/>
          <w:szCs w:val="22"/>
        </w:rPr>
      </w:pPr>
      <w:r>
        <w:rPr>
          <w:iCs/>
          <w:sz w:val="22"/>
          <w:szCs w:val="22"/>
        </w:rPr>
        <w:t>The Subcommittee</w:t>
      </w:r>
      <w:r w:rsidR="00ED08A9">
        <w:rPr>
          <w:iCs/>
          <w:sz w:val="22"/>
          <w:szCs w:val="22"/>
        </w:rPr>
        <w:t xml:space="preserve"> used an informal approach structured on Robert’s Rules of Order.</w:t>
      </w:r>
      <w:r w:rsidR="00AC4578">
        <w:rPr>
          <w:iCs/>
          <w:sz w:val="22"/>
          <w:szCs w:val="22"/>
        </w:rPr>
        <w:t xml:space="preserve">  We failed to vote on a specific Operating Procedure until late in the year, but other than meeting almost weekly, we followed CAPC procedure by default.</w:t>
      </w:r>
      <w:r w:rsidR="00210BD7">
        <w:rPr>
          <w:iCs/>
          <w:sz w:val="22"/>
          <w:szCs w:val="22"/>
        </w:rPr>
        <w:t xml:space="preserve">  </w:t>
      </w:r>
      <w:proofErr w:type="spellStart"/>
      <w:r w:rsidR="00210BD7">
        <w:rPr>
          <w:iCs/>
          <w:sz w:val="22"/>
          <w:szCs w:val="22"/>
        </w:rPr>
        <w:t>SoCC</w:t>
      </w:r>
      <w:proofErr w:type="spellEnd"/>
      <w:r w:rsidR="00210BD7">
        <w:rPr>
          <w:iCs/>
          <w:sz w:val="22"/>
          <w:szCs w:val="22"/>
        </w:rPr>
        <w:t xml:space="preserve"> has been mostly reactive in terms of setting an agenda.  If it chooses to require itself to post an agenda one week prior to meeting many the discussion of section and overlay proposals will be delayed.  </w:t>
      </w:r>
    </w:p>
    <w:p w:rsidR="00ED08A9" w:rsidRPr="00C1426B" w:rsidRDefault="00ED08A9" w:rsidP="00F22337">
      <w:pPr>
        <w:rPr>
          <w:iCs/>
          <w:sz w:val="22"/>
          <w:szCs w:val="22"/>
        </w:rPr>
      </w:pPr>
    </w:p>
    <w:p w:rsidR="00F22337" w:rsidRPr="008E6235" w:rsidRDefault="00F22337" w:rsidP="00865BBB">
      <w:pPr>
        <w:rPr>
          <w:sz w:val="22"/>
          <w:szCs w:val="22"/>
        </w:rPr>
      </w:pPr>
    </w:p>
    <w:sectPr w:rsidR="00F22337" w:rsidRPr="008E6235"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EB" w:rsidRDefault="00FD63EB" w:rsidP="005844EC">
      <w:r>
        <w:separator/>
      </w:r>
    </w:p>
  </w:endnote>
  <w:endnote w:type="continuationSeparator" w:id="0">
    <w:p w:rsidR="00FD63EB" w:rsidRDefault="00FD63EB"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EC" w:rsidRPr="00F24D97" w:rsidRDefault="00F24D97" w:rsidP="005844EC">
    <w:pPr>
      <w:pStyle w:val="Footer"/>
      <w:tabs>
        <w:tab w:val="clear" w:pos="8640"/>
        <w:tab w:val="right" w:pos="9900"/>
      </w:tabs>
      <w:rPr>
        <w:i/>
        <w:sz w:val="16"/>
        <w:szCs w:val="16"/>
      </w:rPr>
    </w:pPr>
    <w:proofErr w:type="spellStart"/>
    <w:r w:rsidRPr="00F24D97">
      <w:rPr>
        <w:rStyle w:val="PageNumber"/>
        <w:i/>
        <w:sz w:val="16"/>
        <w:szCs w:val="16"/>
      </w:rPr>
      <w:t>SoCC</w:t>
    </w:r>
    <w:proofErr w:type="spellEnd"/>
    <w:r w:rsidRPr="00F24D97">
      <w:rPr>
        <w:rStyle w:val="PageNumber"/>
        <w:i/>
        <w:sz w:val="16"/>
        <w:szCs w:val="16"/>
      </w:rPr>
      <w:t xml:space="preserve"> Annual Report 2013-14</w:t>
    </w:r>
    <w:r w:rsidR="005844EC" w:rsidRPr="00F24D97">
      <w:rPr>
        <w:rStyle w:val="PageNumber"/>
        <w:i/>
        <w:sz w:val="16"/>
        <w:szCs w:val="16"/>
      </w:rPr>
      <w:tab/>
    </w:r>
    <w:r w:rsidR="005844EC" w:rsidRPr="00F24D97">
      <w:rPr>
        <w:i/>
        <w:sz w:val="16"/>
        <w:szCs w:val="16"/>
      </w:rPr>
      <w:tab/>
      <w:t xml:space="preserve">Page </w:t>
    </w:r>
    <w:r w:rsidR="005844EC" w:rsidRPr="00F24D97">
      <w:rPr>
        <w:i/>
        <w:sz w:val="16"/>
        <w:szCs w:val="16"/>
      </w:rPr>
      <w:fldChar w:fldCharType="begin"/>
    </w:r>
    <w:r w:rsidR="005844EC" w:rsidRPr="00F24D97">
      <w:rPr>
        <w:i/>
        <w:sz w:val="16"/>
        <w:szCs w:val="16"/>
      </w:rPr>
      <w:instrText xml:space="preserve"> PAGE  \* Arabic  \* MERGEFORMAT </w:instrText>
    </w:r>
    <w:r w:rsidR="005844EC" w:rsidRPr="00F24D97">
      <w:rPr>
        <w:i/>
        <w:sz w:val="16"/>
        <w:szCs w:val="16"/>
      </w:rPr>
      <w:fldChar w:fldCharType="separate"/>
    </w:r>
    <w:r w:rsidR="00CA46F2">
      <w:rPr>
        <w:i/>
        <w:noProof/>
        <w:sz w:val="16"/>
        <w:szCs w:val="16"/>
      </w:rPr>
      <w:t>3</w:t>
    </w:r>
    <w:r w:rsidR="005844EC" w:rsidRPr="00F24D97">
      <w:rPr>
        <w:i/>
        <w:sz w:val="16"/>
        <w:szCs w:val="16"/>
      </w:rPr>
      <w:fldChar w:fldCharType="end"/>
    </w:r>
    <w:r w:rsidR="005844EC" w:rsidRPr="00F24D97">
      <w:rPr>
        <w:i/>
        <w:sz w:val="16"/>
        <w:szCs w:val="16"/>
      </w:rPr>
      <w:t xml:space="preserve"> of </w:t>
    </w:r>
    <w:r w:rsidR="005844EC" w:rsidRPr="00F24D97">
      <w:rPr>
        <w:i/>
        <w:sz w:val="16"/>
        <w:szCs w:val="16"/>
      </w:rPr>
      <w:fldChar w:fldCharType="begin"/>
    </w:r>
    <w:r w:rsidR="005844EC" w:rsidRPr="00F24D97">
      <w:rPr>
        <w:i/>
        <w:sz w:val="16"/>
        <w:szCs w:val="16"/>
      </w:rPr>
      <w:instrText xml:space="preserve"> NUMPAGES  \* Arabic  \* MERGEFORMAT </w:instrText>
    </w:r>
    <w:r w:rsidR="005844EC" w:rsidRPr="00F24D97">
      <w:rPr>
        <w:i/>
        <w:sz w:val="16"/>
        <w:szCs w:val="16"/>
      </w:rPr>
      <w:fldChar w:fldCharType="separate"/>
    </w:r>
    <w:r w:rsidR="00CA46F2">
      <w:rPr>
        <w:i/>
        <w:noProof/>
        <w:sz w:val="16"/>
        <w:szCs w:val="16"/>
      </w:rPr>
      <w:t>4</w:t>
    </w:r>
    <w:r w:rsidR="005844EC" w:rsidRPr="00F24D97">
      <w:rPr>
        <w:i/>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EB" w:rsidRDefault="00FD63EB" w:rsidP="005844EC">
      <w:r>
        <w:separator/>
      </w:r>
    </w:p>
  </w:footnote>
  <w:footnote w:type="continuationSeparator" w:id="0">
    <w:p w:rsidR="00FD63EB" w:rsidRDefault="00FD63EB"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429"/>
    <w:multiLevelType w:val="hybridMultilevel"/>
    <w:tmpl w:val="82D24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028D4"/>
    <w:rsid w:val="00003CD4"/>
    <w:rsid w:val="00045F8D"/>
    <w:rsid w:val="001129EB"/>
    <w:rsid w:val="001B2DAB"/>
    <w:rsid w:val="001D17C8"/>
    <w:rsid w:val="00210BD7"/>
    <w:rsid w:val="0027078F"/>
    <w:rsid w:val="002C5E22"/>
    <w:rsid w:val="002E3AED"/>
    <w:rsid w:val="002F4D31"/>
    <w:rsid w:val="00387AB8"/>
    <w:rsid w:val="003B08B7"/>
    <w:rsid w:val="003D5892"/>
    <w:rsid w:val="00431AF9"/>
    <w:rsid w:val="00467485"/>
    <w:rsid w:val="0050455D"/>
    <w:rsid w:val="005670B4"/>
    <w:rsid w:val="005844EC"/>
    <w:rsid w:val="005864EB"/>
    <w:rsid w:val="0059130B"/>
    <w:rsid w:val="005A4641"/>
    <w:rsid w:val="00600EC4"/>
    <w:rsid w:val="006A5698"/>
    <w:rsid w:val="0071470B"/>
    <w:rsid w:val="00715022"/>
    <w:rsid w:val="00730906"/>
    <w:rsid w:val="00766C11"/>
    <w:rsid w:val="00800EB7"/>
    <w:rsid w:val="00812246"/>
    <w:rsid w:val="00865BBB"/>
    <w:rsid w:val="00892390"/>
    <w:rsid w:val="008A30CC"/>
    <w:rsid w:val="008D74B5"/>
    <w:rsid w:val="008E6235"/>
    <w:rsid w:val="009955E7"/>
    <w:rsid w:val="009A0D4E"/>
    <w:rsid w:val="00A547A4"/>
    <w:rsid w:val="00AB4BF5"/>
    <w:rsid w:val="00AC4578"/>
    <w:rsid w:val="00AF073F"/>
    <w:rsid w:val="00B404E8"/>
    <w:rsid w:val="00B47D44"/>
    <w:rsid w:val="00B9021D"/>
    <w:rsid w:val="00C1133B"/>
    <w:rsid w:val="00C1426B"/>
    <w:rsid w:val="00C155C9"/>
    <w:rsid w:val="00C81E77"/>
    <w:rsid w:val="00CA46F2"/>
    <w:rsid w:val="00E31250"/>
    <w:rsid w:val="00E85F63"/>
    <w:rsid w:val="00ED08A9"/>
    <w:rsid w:val="00F22337"/>
    <w:rsid w:val="00F24D97"/>
    <w:rsid w:val="00F86486"/>
    <w:rsid w:val="00FD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995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995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643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8698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4</cp:revision>
  <cp:lastPrinted>2014-04-30T18:42:00Z</cp:lastPrinted>
  <dcterms:created xsi:type="dcterms:W3CDTF">2014-04-30T18:41:00Z</dcterms:created>
  <dcterms:modified xsi:type="dcterms:W3CDTF">2014-04-30T18:49:00Z</dcterms:modified>
</cp:coreProperties>
</file>